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693" w:type="dxa"/>
        <w:jc w:val="center"/>
        <w:tblLook w:val="0000" w:firstRow="0" w:lastRow="0" w:firstColumn="0" w:lastColumn="0" w:noHBand="0" w:noVBand="0"/>
      </w:tblPr>
      <w:tblGrid>
        <w:gridCol w:w="4740"/>
        <w:gridCol w:w="5953"/>
      </w:tblGrid>
      <w:tr>
        <w:trPr>
          <w:trHeight w:val="1562"/>
          <w:jc w:val="center"/>
        </w:trPr>
        <w:tc>
          <w:tcPr>
            <w:tcW w:w="4740" w:type="dxa"/>
          </w:tcPr>
          <w:p>
            <w:pPr>
              <w:spacing w:after="0"/>
              <w:jc w:val="center"/>
              <w:rPr>
                <w:b/>
                <w:bCs/>
                <w:sz w:val="26"/>
                <w:szCs w:val="26"/>
              </w:rPr>
            </w:pPr>
            <w:bookmarkStart w:id="0" w:name="_GoBack"/>
            <w:bookmarkEnd w:id="0"/>
            <w:r>
              <w:rPr>
                <w:b/>
                <w:bCs/>
                <w:sz w:val="26"/>
                <w:szCs w:val="26"/>
              </w:rPr>
              <w:t>HỘI ĐỒNG NHÂN DÂN</w:t>
            </w:r>
          </w:p>
          <w:p>
            <w:pPr>
              <w:spacing w:after="0"/>
              <w:jc w:val="center"/>
              <w:rPr>
                <w:bCs/>
                <w:sz w:val="26"/>
                <w:szCs w:val="26"/>
              </w:rPr>
            </w:pPr>
            <w:r>
              <w:rPr>
                <w:b/>
                <w:bCs/>
                <w:sz w:val="26"/>
                <w:szCs w:val="26"/>
              </w:rPr>
              <w:t>TỈNH THANH HÓA</w:t>
            </w:r>
          </w:p>
          <w:p>
            <w:pPr>
              <w:spacing w:after="0"/>
              <w:ind w:left="108"/>
              <w:jc w:val="center"/>
              <w:rPr>
                <w:sz w:val="26"/>
                <w:szCs w:val="26"/>
              </w:rPr>
            </w:pPr>
            <w:r>
              <w:rPr>
                <w:noProof/>
                <w:sz w:val="26"/>
                <w:szCs w:val="26"/>
              </w:rPr>
              <mc:AlternateContent>
                <mc:Choice Requires="wps">
                  <w:drawing>
                    <wp:anchor distT="0" distB="0" distL="114300" distR="114300" simplePos="0" relativeHeight="251676672" behindDoc="0" locked="0" layoutInCell="1" allowOverlap="1">
                      <wp:simplePos x="0" y="0"/>
                      <wp:positionH relativeFrom="column">
                        <wp:posOffset>1044470</wp:posOffset>
                      </wp:positionH>
                      <wp:positionV relativeFrom="paragraph">
                        <wp:posOffset>4445</wp:posOffset>
                      </wp:positionV>
                      <wp:extent cx="673100" cy="0"/>
                      <wp:effectExtent l="0" t="0" r="12700" b="19050"/>
                      <wp:wrapNone/>
                      <wp:docPr id="378962080"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Straight Connector 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25pt,.35pt" to="135.2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"/>
                  </w:pict>
                </mc:Fallback>
              </mc:AlternateContent>
            </w:r>
          </w:p>
          <w:p>
            <w:pPr>
              <w:spacing w:after="0"/>
              <w:ind w:left="108"/>
              <w:jc w:val="center"/>
              <w:rPr>
                <w:sz w:val="26"/>
                <w:szCs w:val="26"/>
              </w:rPr>
            </w:pPr>
            <w:r>
              <w:rPr>
                <w:rFonts w:eastAsia="Calibri"/>
                <w:noProof/>
                <w:szCs w:val="28"/>
              </w:rPr>
              <mc:AlternateContent>
                <mc:Choice Requires="wps">
                  <w:drawing>
                    <wp:anchor distT="0" distB="0" distL="114300" distR="114300" simplePos="0" relativeHeight="251678720" behindDoc="0" locked="0" layoutInCell="1" allowOverlap="1">
                      <wp:simplePos x="0" y="0"/>
                      <wp:positionH relativeFrom="column">
                        <wp:posOffset>666010</wp:posOffset>
                      </wp:positionH>
                      <wp:positionV relativeFrom="paragraph">
                        <wp:posOffset>360045</wp:posOffset>
                      </wp:positionV>
                      <wp:extent cx="1114425" cy="309880"/>
                      <wp:effectExtent l="0" t="0" r="28575" b="13970"/>
                      <wp:wrapNone/>
                      <wp:docPr id="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30988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pPr>
                                    <w:jc w:val="center"/>
                                    <w:rPr>
                                      <w:b/>
                                      <w:sz w:val="26"/>
                                    </w:rPr>
                                  </w:pPr>
                                  <w:r>
                                    <w:rPr>
                                      <w:b/>
                                      <w:sz w:val="26"/>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52.45pt;margin-top:28.35pt;width:87.75pt;height:24.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">
                      <v:textbox>
                        <w:txbxContent>
                          <w:p>
                            <w:pPr>
                              <w:jc w:val="center"/>
                              <w:rPr>
                                <w:b/>
                                <w:sz w:val="26"/>
                              </w:rPr>
                            </w:pPr>
                            <w:r>
                              <w:rPr>
                                <w:b/>
                                <w:sz w:val="26"/>
                              </w:rPr>
                              <w:t>DỰ THẢO</w:t>
                            </w:r>
                          </w:p>
                        </w:txbxContent>
                      </v:textbox>
                    </v:shape>
                  </w:pict>
                </mc:Fallback>
              </mc:AlternateContent>
            </w:r>
            <w:r>
              <w:rPr>
                <w:sz w:val="26"/>
                <w:szCs w:val="26"/>
              </w:rPr>
              <w:t>Số:           /2026/NQ-HĐND</w:t>
            </w:r>
          </w:p>
        </w:tc>
        <w:tc>
          <w:tcPr>
            <w:tcW w:w="5953" w:type="dxa"/>
          </w:tcPr>
          <w:p>
            <w:pPr>
              <w:keepNext/>
              <w:spacing w:after="0"/>
              <w:jc w:val="center"/>
              <w:outlineLvl w:val="0"/>
              <w:rPr>
                <w:b/>
                <w:bCs/>
                <w:spacing w:val="-4"/>
                <w:sz w:val="26"/>
                <w:szCs w:val="26"/>
              </w:rPr>
            </w:pPr>
            <w:r>
              <w:rPr>
                <w:b/>
                <w:bCs/>
                <w:spacing w:val="-4"/>
                <w:sz w:val="26"/>
                <w:szCs w:val="26"/>
              </w:rPr>
              <w:t>CỘNG HOÀ XÃ HỘI CHỦ NGHĨA VIỆT NAM</w:t>
            </w:r>
          </w:p>
          <w:p>
            <w:pPr>
              <w:spacing w:after="0"/>
              <w:jc w:val="center"/>
              <w:rPr>
                <w:b/>
                <w:bCs/>
                <w:szCs w:val="28"/>
              </w:rPr>
            </w:pPr>
            <w:r>
              <w:rPr>
                <w:b/>
                <w:bCs/>
                <w:szCs w:val="28"/>
              </w:rPr>
              <w:t>Độc lập - Tự do - Hạnh phúc</w:t>
            </w:r>
          </w:p>
          <w:p>
            <w:pPr>
              <w:spacing w:after="0"/>
              <w:jc w:val="center"/>
              <w:rPr>
                <w:b/>
                <w:bCs/>
                <w:sz w:val="26"/>
                <w:szCs w:val="26"/>
              </w:rPr>
            </w:pPr>
            <w:r>
              <w:rPr>
                <w:b/>
                <w:bCs/>
                <w:noProof/>
                <w:sz w:val="26"/>
                <w:szCs w:val="26"/>
              </w:rPr>
              <mc:AlternateContent>
                <mc:Choice Requires="wps">
                  <w:drawing>
                    <wp:anchor distT="0" distB="0" distL="114300" distR="114300" simplePos="0" relativeHeight="251675648" behindDoc="0" locked="0" layoutInCell="1" allowOverlap="1">
                      <wp:simplePos x="0" y="0"/>
                      <wp:positionH relativeFrom="column">
                        <wp:posOffset>740305</wp:posOffset>
                      </wp:positionH>
                      <wp:positionV relativeFrom="paragraph">
                        <wp:posOffset>3810</wp:posOffset>
                      </wp:positionV>
                      <wp:extent cx="2182219" cy="0"/>
                      <wp:effectExtent l="0" t="0" r="27940" b="19050"/>
                      <wp:wrapNone/>
                      <wp:docPr id="534878420"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22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Straight Connector 8"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pt,.3pt" to="230.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"/>
                  </w:pict>
                </mc:Fallback>
              </mc:AlternateContent>
            </w:r>
          </w:p>
          <w:p>
            <w:pPr>
              <w:spacing w:after="0"/>
              <w:jc w:val="center"/>
              <w:rPr>
                <w:b/>
                <w:bCs/>
                <w:szCs w:val="26"/>
              </w:rPr>
            </w:pPr>
            <w:r>
              <w:rPr>
                <w:bCs/>
                <w:i/>
                <w:szCs w:val="26"/>
              </w:rPr>
              <w:t>Thanh Hoá, ngày      tháng       năm 2026</w:t>
            </w:r>
          </w:p>
          <w:p>
            <w:pPr>
              <w:spacing w:after="0"/>
              <w:jc w:val="center"/>
              <w:rPr>
                <w:i/>
                <w:sz w:val="34"/>
                <w:szCs w:val="26"/>
              </w:rPr>
            </w:pPr>
          </w:p>
        </w:tc>
      </w:tr>
    </w:tbl>
    <w:p>
      <w:pPr>
        <w:widowControl w:val="0"/>
        <w:ind w:right="57"/>
        <w:jc w:val="center"/>
        <w:rPr>
          <w:b/>
          <w:szCs w:val="28"/>
        </w:rPr>
      </w:pPr>
      <w:r>
        <w:rPr>
          <w:b/>
          <w:szCs w:val="28"/>
        </w:rPr>
        <w:t>NGHỊ QUYẾT</w:t>
      </w:r>
    </w:p>
    <w:p>
      <w:pPr>
        <w:spacing w:after="0" w:line="340" w:lineRule="exact"/>
        <w:ind w:left="-140" w:right="-168"/>
        <w:jc w:val="center"/>
        <w:rPr>
          <w:rFonts w:eastAsia="Calibri"/>
          <w:b/>
          <w:szCs w:val="28"/>
        </w:rPr>
      </w:pPr>
      <w:bookmarkStart w:id="1" w:name="loai_1_name"/>
      <w:r>
        <w:rPr>
          <w:rFonts w:eastAsia="Calibri" w:cs="Times New Roman"/>
          <w:b/>
          <w:szCs w:val="28"/>
        </w:rPr>
        <w:t xml:space="preserve">Quy định nguyên tắc, tiêu chí, định mức phân bổ vốn ngân sách trung ương và tỷ lệ vốn đối ứng của ngân sách địa phương </w:t>
      </w:r>
      <w:r>
        <w:rPr>
          <w:rFonts w:eastAsia="Calibri"/>
          <w:b/>
          <w:szCs w:val="28"/>
        </w:rPr>
        <w:t xml:space="preserve">thực hiện Chương trình mục tiêu quốc gia xây dựng nông thôn mới, giảm nghèo bền vững và phát triển kinh tế -  xã hội vùng đồng bào dân tộc thiểu số và miền núi </w:t>
      </w:r>
    </w:p>
    <w:p>
      <w:pPr>
        <w:spacing w:after="0" w:line="340" w:lineRule="exact"/>
        <w:ind w:left="-140" w:right="-168"/>
        <w:jc w:val="center"/>
        <w:rPr>
          <w:b/>
          <w:szCs w:val="28"/>
        </w:rPr>
      </w:pPr>
      <w:r>
        <w:rPr>
          <w:rFonts w:eastAsia="Calibri"/>
          <w:b/>
          <w:szCs w:val="28"/>
        </w:rPr>
        <w:t>trên địa bàn tỉnh Thanh Hoá, giai đoạn 2026-2030</w:t>
      </w:r>
      <w:r>
        <w:rPr>
          <w:b/>
          <w:szCs w:val="28"/>
        </w:rPr>
        <w:t xml:space="preserve">  </w:t>
      </w:r>
    </w:p>
    <w:p>
      <w:pPr>
        <w:pStyle w:val="NormalWeb"/>
        <w:shd w:val="clear" w:color="auto" w:fill="FFFFFF"/>
        <w:spacing w:before="0" w:beforeAutospacing="0" w:after="0" w:afterAutospacing="0" w:line="234" w:lineRule="atLeast"/>
        <w:jc w:val="center"/>
        <w:rPr>
          <w:b/>
          <w:sz w:val="28"/>
          <w:szCs w:val="28"/>
        </w:rPr>
      </w:pPr>
      <w:r>
        <w:rPr>
          <w:b/>
          <w:noProof/>
          <w:sz w:val="28"/>
          <w:szCs w:val="28"/>
        </w:rPr>
        <mc:AlternateContent>
          <mc:Choice Requires="wps">
            <w:drawing>
              <wp:anchor distT="0" distB="0" distL="114300" distR="114300" simplePos="0" relativeHeight="251677696" behindDoc="0" locked="0" layoutInCell="1" allowOverlap="1">
                <wp:simplePos x="0" y="0"/>
                <wp:positionH relativeFrom="column">
                  <wp:posOffset>2160432</wp:posOffset>
                </wp:positionH>
                <wp:positionV relativeFrom="paragraph">
                  <wp:posOffset>48895</wp:posOffset>
                </wp:positionV>
                <wp:extent cx="1382233"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38223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Straight Connector 2"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170.1pt,3.85pt" to="278.9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" strokecolor="black [3200]" strokeweight=".5pt">
                <v:stroke joinstyle="miter"/>
              </v:line>
            </w:pict>
          </mc:Fallback>
        </mc:AlternateContent>
      </w:r>
      <w:r>
        <w:rPr>
          <w:b/>
          <w:sz w:val="28"/>
          <w:szCs w:val="28"/>
        </w:rPr>
        <w:t xml:space="preserve">   </w:t>
      </w:r>
      <w:bookmarkEnd w:id="1"/>
    </w:p>
    <w:p>
      <w:pPr>
        <w:shd w:val="clear" w:color="auto" w:fill="FFFFFF"/>
        <w:spacing w:before="120" w:after="120" w:line="283" w:lineRule="auto"/>
        <w:ind w:firstLine="567"/>
        <w:jc w:val="both"/>
        <w:rPr>
          <w:rFonts w:eastAsia="Calibri" w:cs="Times New Roman"/>
          <w:i/>
          <w:iCs/>
          <w:szCs w:val="28"/>
        </w:rPr>
      </w:pPr>
      <w:r>
        <w:rPr>
          <w:rFonts w:eastAsia="Calibri" w:cs="Times New Roman"/>
          <w:i/>
          <w:iCs/>
          <w:szCs w:val="28"/>
        </w:rPr>
        <w:t>Căn cứ Luật Tổ chức chính quyền địa phương số 72/2025/QH15;</w:t>
      </w:r>
    </w:p>
    <w:p>
      <w:pPr>
        <w:shd w:val="clear" w:color="auto" w:fill="FFFFFF"/>
        <w:spacing w:before="120" w:after="120" w:line="283" w:lineRule="auto"/>
        <w:ind w:firstLine="567"/>
        <w:jc w:val="both"/>
        <w:rPr>
          <w:rFonts w:eastAsia="Calibri" w:cs="Times New Roman"/>
          <w:i/>
          <w:iCs/>
          <w:szCs w:val="28"/>
        </w:rPr>
      </w:pPr>
      <w:r>
        <w:rPr>
          <w:i/>
        </w:rPr>
        <w:t>Căn cứ Luật Ban hành văn bản quy phạm pháp luật số 64/2025/QH15;</w:t>
      </w:r>
    </w:p>
    <w:p>
      <w:pPr>
        <w:shd w:val="clear" w:color="auto" w:fill="FFFFFF"/>
        <w:spacing w:before="120" w:after="120" w:line="283" w:lineRule="auto"/>
        <w:ind w:firstLine="567"/>
        <w:jc w:val="both"/>
        <w:rPr>
          <w:rFonts w:eastAsia="Calibri" w:cs="Times New Roman"/>
          <w:i/>
          <w:iCs/>
          <w:szCs w:val="28"/>
        </w:rPr>
      </w:pPr>
      <w:r>
        <w:rPr>
          <w:rFonts w:eastAsia="Calibri" w:cs="Times New Roman"/>
          <w:i/>
          <w:iCs/>
          <w:szCs w:val="28"/>
        </w:rPr>
        <w:t>Căn cứ Luật Ngân sách nhà nước số 89/2025/QH15;</w:t>
      </w:r>
    </w:p>
    <w:p>
      <w:pPr>
        <w:shd w:val="clear" w:color="auto" w:fill="FFFFFF"/>
        <w:spacing w:before="120" w:after="120" w:line="283" w:lineRule="auto"/>
        <w:ind w:firstLine="567"/>
        <w:jc w:val="both"/>
        <w:rPr>
          <w:rFonts w:eastAsia="Calibri" w:cs="Times New Roman"/>
          <w:i/>
          <w:iCs/>
          <w:szCs w:val="28"/>
        </w:rPr>
      </w:pPr>
      <w:r>
        <w:rPr>
          <w:rFonts w:eastAsia="Calibri" w:cs="Times New Roman"/>
          <w:i/>
          <w:iCs/>
          <w:szCs w:val="28"/>
        </w:rPr>
        <w:t>Căn cứ Luật Đầu tư công số 58/2024/QH15; 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số 90/2025/QH15;</w:t>
      </w:r>
    </w:p>
    <w:p>
      <w:pPr>
        <w:spacing w:before="120" w:after="120" w:line="283" w:lineRule="auto"/>
        <w:ind w:firstLine="709"/>
        <w:jc w:val="both"/>
        <w:rPr>
          <w:rFonts w:eastAsia="Calibri" w:cs="Times New Roman"/>
          <w:i/>
          <w:szCs w:val="28"/>
          <w:lang w:val="nl-NL"/>
        </w:rPr>
      </w:pPr>
      <w:r>
        <w:rPr>
          <w:rFonts w:eastAsia="Calibri" w:cs="Times New Roman"/>
          <w:i/>
          <w:szCs w:val="28"/>
          <w:lang w:val="nl-NL"/>
        </w:rPr>
        <w:t xml:space="preserve">Căn cứ </w:t>
      </w:r>
      <w:r>
        <w:rPr>
          <w:rFonts w:eastAsia="Times New Roman" w:cs="Times New Roman"/>
          <w:i/>
          <w:szCs w:val="28"/>
        </w:rPr>
        <w:t>Nghị quyết số 70/2025/UBTVQH15 ngày 07 tháng 02 năm 2025 được sửa đổi, bổ sung một số điều tại Nghị quyết số 120/2026/UBTVQH15 ngày 03 tháng 02 năm 2026 của Ủy ban Thường vụ Quốc hội quy định về nguyên tắc, tiêu chí và định mức phân bổ vốn đầu tư công nguồn ngân sách nhà nước giai đoạn 2026-2030</w:t>
      </w:r>
      <w:r>
        <w:rPr>
          <w:rFonts w:eastAsia="Calibri" w:cs="Times New Roman"/>
          <w:i/>
          <w:szCs w:val="28"/>
          <w:lang w:val="nl-NL"/>
        </w:rPr>
        <w:t>;</w:t>
      </w:r>
    </w:p>
    <w:p>
      <w:pPr>
        <w:spacing w:before="120" w:after="120" w:line="283" w:lineRule="auto"/>
        <w:ind w:firstLine="709"/>
        <w:jc w:val="both"/>
        <w:rPr>
          <w:rFonts w:eastAsia="Calibri" w:cs="Times New Roman"/>
          <w:i/>
          <w:szCs w:val="28"/>
          <w:lang w:val="nl-NL"/>
        </w:rPr>
      </w:pPr>
      <w:r>
        <w:rPr>
          <w:rFonts w:eastAsia="Times New Roman" w:cs="Times New Roman"/>
          <w:i/>
          <w:szCs w:val="28"/>
        </w:rPr>
        <w:t>Căn cứ Quyết định số 18/2026/QĐ-TTg ngày 18 tháng 4 năm 2026 của Thủ tướng Chính phủ quy định chi tiết thi hành một số điều của Nghị quyết số 70/2025/UBTVQH15 ngày 07 tháng 02 năm 2025 được sửa đổi, bổ sung một số điều tại Nghị quyết số 120/2026/UBTVQH15 ngày 03 tháng 02 năm 2026 của Ủy ban Thường vụ Quốc hội quy định về nguyên tắc, tiêu chí và định mức phân bổ vốn đầu tư công nguồn ngân sách nhà nước giai đoạn 2026-2030;</w:t>
      </w:r>
    </w:p>
    <w:p>
      <w:pPr>
        <w:spacing w:before="120" w:after="120" w:line="283" w:lineRule="auto"/>
        <w:ind w:firstLine="709"/>
        <w:jc w:val="both"/>
        <w:rPr>
          <w:rFonts w:eastAsia="Calibri" w:cs="Times New Roman"/>
          <w:i/>
          <w:szCs w:val="28"/>
          <w:lang w:val="nl-NL"/>
        </w:rPr>
      </w:pPr>
      <w:r>
        <w:rPr>
          <w:rFonts w:eastAsia="Calibri" w:cs="Times New Roman"/>
          <w:i/>
          <w:szCs w:val="28"/>
          <w:lang w:val="nl-NL"/>
        </w:rPr>
        <w:t>Căn cứ Nghị định số 85/2025/NĐ-CP ngày 08 tháng 4 năm 2025 của Chính phủ quy định chi tiết thi hành một số điều của Luật Đầu tư công;</w:t>
      </w:r>
    </w:p>
    <w:p>
      <w:pPr>
        <w:spacing w:before="120" w:after="120" w:line="283" w:lineRule="auto"/>
        <w:ind w:firstLine="709"/>
        <w:jc w:val="both"/>
        <w:rPr>
          <w:rFonts w:eastAsia="Calibri" w:cs="Times New Roman"/>
          <w:i/>
          <w:szCs w:val="28"/>
          <w:lang w:val="nl-NL"/>
        </w:rPr>
      </w:pPr>
      <w:r>
        <w:rPr>
          <w:rFonts w:eastAsia="Calibri" w:cs="Times New Roman"/>
          <w:i/>
          <w:szCs w:val="28"/>
          <w:lang w:val="nl-NL"/>
        </w:rPr>
        <w:t>Căn cứ Nghị định số 275/2025/NĐ-CP ngày 18 tháng 10 năm 2025 của Chính phủ về sửa đổi, bổ sung một số điều của Nghị định số </w:t>
      </w:r>
      <w:bookmarkStart w:id="2" w:name="tvpllink_rwqqaoenrz"/>
      <w:r>
        <w:rPr>
          <w:rFonts w:eastAsia="Calibri" w:cs="Times New Roman"/>
          <w:i/>
          <w:szCs w:val="28"/>
          <w:lang w:val="nl-NL"/>
        </w:rPr>
        <w:fldChar w:fldCharType="begin"/>
      </w:r>
      <w:r>
        <w:rPr>
          <w:rFonts w:eastAsia="Calibri" w:cs="Times New Roman"/>
          <w:i/>
          <w:szCs w:val="28"/>
          <w:lang w:val="nl-NL"/>
        </w:rPr>
        <w:instrText xml:space="preserve"> HYPERLINK "https://thuvienphapluat.vn/van-ban/Dau-tu/Nghi-dinh-85-2025-ND-CP-huong-dan-Luat-Dau-tu-cong-651162.aspx" \t "_blank" </w:instrText>
      </w:r>
      <w:r>
        <w:rPr>
          <w:rFonts w:eastAsia="Calibri" w:cs="Times New Roman"/>
          <w:i/>
          <w:szCs w:val="28"/>
          <w:lang w:val="nl-NL"/>
        </w:rPr>
        <w:fldChar w:fldCharType="separate"/>
      </w:r>
      <w:r>
        <w:rPr>
          <w:rFonts w:eastAsia="Calibri" w:cs="Times New Roman"/>
          <w:i/>
          <w:szCs w:val="28"/>
          <w:lang w:val="nl-NL"/>
        </w:rPr>
        <w:t>85/2025/NĐ-CP</w:t>
      </w:r>
      <w:r>
        <w:rPr>
          <w:rFonts w:eastAsia="Calibri" w:cs="Times New Roman"/>
          <w:i/>
          <w:szCs w:val="28"/>
          <w:lang w:val="nl-NL"/>
        </w:rPr>
        <w:fldChar w:fldCharType="end"/>
      </w:r>
      <w:bookmarkEnd w:id="2"/>
      <w:r>
        <w:rPr>
          <w:rFonts w:eastAsia="Calibri" w:cs="Times New Roman"/>
          <w:i/>
          <w:szCs w:val="28"/>
          <w:lang w:val="nl-NL"/>
        </w:rPr>
        <w:t> ngày 08 tháng 4 năm 2025 quy định chi tiết thi hành một số điều của </w:t>
      </w:r>
      <w:hyperlink r:id="rId8" w:tgtFrame="_blank" w:history="1">
        <w:r>
          <w:rPr>
            <w:rFonts w:eastAsia="Calibri" w:cs="Times New Roman"/>
            <w:i/>
            <w:szCs w:val="28"/>
            <w:lang w:val="nl-NL"/>
          </w:rPr>
          <w:t>Luật Đầu tư công</w:t>
        </w:r>
      </w:hyperlink>
      <w:r>
        <w:rPr>
          <w:rFonts w:eastAsia="Calibri" w:cs="Times New Roman"/>
          <w:i/>
          <w:szCs w:val="28"/>
          <w:lang w:val="nl-NL"/>
        </w:rPr>
        <w:t>;</w:t>
      </w:r>
    </w:p>
    <w:p>
      <w:pPr>
        <w:spacing w:before="120" w:after="120" w:line="283" w:lineRule="auto"/>
        <w:ind w:firstLine="567"/>
        <w:jc w:val="both"/>
        <w:rPr>
          <w:rFonts w:eastAsia="Calibri" w:cs="Times New Roman"/>
          <w:i/>
          <w:iCs/>
          <w:szCs w:val="28"/>
        </w:rPr>
      </w:pPr>
      <w:r>
        <w:rPr>
          <w:rFonts w:eastAsia="Calibri" w:cs="Times New Roman"/>
          <w:i/>
          <w:iCs/>
          <w:szCs w:val="28"/>
        </w:rPr>
        <w:lastRenderedPageBreak/>
        <w:t xml:space="preserve">Căn cứ Nghị quyết số 257/2025/QH15 ngày 11 tháng 12 năm 2025 của Quốc hội phê duyệt chủ trương đầu tư Chương trình mục tiêu quốc gia xây dựng nông thôn mới, giảm nghèo bền vững và phát triển kinh tế - xã hội vùng đồng bào dân tộc thiểu số và miền núi giai đoạn 2026 - 2035; </w:t>
      </w:r>
    </w:p>
    <w:p>
      <w:pPr>
        <w:shd w:val="clear" w:color="auto" w:fill="FFFFFF"/>
        <w:spacing w:before="120" w:after="120" w:line="283" w:lineRule="auto"/>
        <w:ind w:firstLine="567"/>
        <w:jc w:val="both"/>
        <w:rPr>
          <w:rFonts w:eastAsia="Calibri" w:cs="Times New Roman"/>
          <w:i/>
          <w:iCs/>
          <w:szCs w:val="28"/>
        </w:rPr>
      </w:pPr>
      <w:r>
        <w:rPr>
          <w:rFonts w:eastAsia="Calibri" w:cs="Times New Roman"/>
          <w:i/>
          <w:iCs/>
          <w:szCs w:val="28"/>
        </w:rPr>
        <w:t>Căn cứ Nghị định số 358/2025/NĐ-CP ngày 31 tháng 12 năm 2025 của Chính phủ quy định cơ chế quản lý, tổ chức thực hiện các chương trình mục tiêu quốc gia;</w:t>
      </w:r>
    </w:p>
    <w:p>
      <w:pPr>
        <w:pStyle w:val="NormalWeb"/>
        <w:shd w:val="clear" w:color="auto" w:fill="FFFFFF"/>
        <w:spacing w:before="120" w:beforeAutospacing="0" w:after="120" w:afterAutospacing="0" w:line="283" w:lineRule="auto"/>
        <w:ind w:firstLine="567"/>
        <w:jc w:val="both"/>
        <w:rPr>
          <w:rFonts w:eastAsia="Calibri"/>
          <w:i/>
          <w:sz w:val="28"/>
          <w:szCs w:val="28"/>
        </w:rPr>
      </w:pPr>
      <w:r>
        <w:rPr>
          <w:rFonts w:eastAsia="Calibri"/>
          <w:i/>
          <w:sz w:val="28"/>
          <w:szCs w:val="28"/>
        </w:rPr>
        <w:t>Căn cứ Quyết định số 417/QĐ-BNNMT ngày 31/01/2026 của Bộ Nông nghiệp và Môi trường về việc phê duyệt Chương trình mục tiêu quốc gia xây dựng nông thôn mới, giảm nghèo bền vững và phát triển kinh tế - xã hội vùng đồng bào dân tộc thiểu số và miền núi giai đoạn 2026 – 2035, giai đoạn I: Từ năm 2026 đến năm 2030;</w:t>
      </w:r>
    </w:p>
    <w:p>
      <w:pPr>
        <w:pStyle w:val="NormalWeb"/>
        <w:shd w:val="clear" w:color="auto" w:fill="FFFFFF"/>
        <w:spacing w:before="120" w:beforeAutospacing="0" w:after="120" w:afterAutospacing="0" w:line="283" w:lineRule="auto"/>
        <w:ind w:firstLine="567"/>
        <w:jc w:val="both"/>
        <w:rPr>
          <w:i/>
          <w:iCs/>
          <w:sz w:val="28"/>
          <w:szCs w:val="28"/>
          <w:lang w:val="vi-VN"/>
        </w:rPr>
      </w:pPr>
      <w:r>
        <w:rPr>
          <w:i/>
          <w:iCs/>
          <w:sz w:val="28"/>
          <w:szCs w:val="28"/>
          <w:lang w:val="vi-VN"/>
        </w:rPr>
        <w:t>Căn cứ Quyết định số </w:t>
      </w:r>
      <w:hyperlink r:id="rId9" w:tgtFrame="_blank" w:tooltip="Quyết định 07/2022/QĐ-TTg" w:history="1">
        <w:r>
          <w:rPr>
            <w:rStyle w:val="Hyperlink"/>
            <w:i/>
            <w:iCs/>
            <w:color w:val="auto"/>
            <w:sz w:val="28"/>
            <w:szCs w:val="28"/>
            <w:u w:val="none"/>
          </w:rPr>
          <w:t>16</w:t>
        </w:r>
        <w:r>
          <w:rPr>
            <w:rStyle w:val="Hyperlink"/>
            <w:i/>
            <w:iCs/>
            <w:color w:val="auto"/>
            <w:sz w:val="28"/>
            <w:szCs w:val="28"/>
            <w:u w:val="none"/>
            <w:lang w:val="vi-VN"/>
          </w:rPr>
          <w:t>/202</w:t>
        </w:r>
        <w:r>
          <w:rPr>
            <w:rStyle w:val="Hyperlink"/>
            <w:i/>
            <w:iCs/>
            <w:color w:val="auto"/>
            <w:sz w:val="28"/>
            <w:szCs w:val="28"/>
            <w:u w:val="none"/>
          </w:rPr>
          <w:t>6</w:t>
        </w:r>
        <w:r>
          <w:rPr>
            <w:rStyle w:val="Hyperlink"/>
            <w:i/>
            <w:iCs/>
            <w:color w:val="auto"/>
            <w:sz w:val="28"/>
            <w:szCs w:val="28"/>
            <w:u w:val="none"/>
            <w:lang w:val="vi-VN"/>
          </w:rPr>
          <w:t>/QĐ-TTg</w:t>
        </w:r>
      </w:hyperlink>
      <w:r>
        <w:rPr>
          <w:i/>
          <w:iCs/>
          <w:sz w:val="28"/>
          <w:szCs w:val="28"/>
          <w:lang w:val="vi-VN"/>
        </w:rPr>
        <w:t> ngày</w:t>
      </w:r>
      <w:r>
        <w:rPr>
          <w:i/>
          <w:iCs/>
          <w:sz w:val="28"/>
          <w:szCs w:val="28"/>
        </w:rPr>
        <w:t xml:space="preserve"> 15 </w:t>
      </w:r>
      <w:r>
        <w:rPr>
          <w:i/>
          <w:iCs/>
          <w:sz w:val="28"/>
          <w:szCs w:val="28"/>
          <w:lang w:val="vi-VN"/>
        </w:rPr>
        <w:t xml:space="preserve">tháng </w:t>
      </w:r>
      <w:r>
        <w:rPr>
          <w:i/>
          <w:iCs/>
          <w:sz w:val="28"/>
          <w:szCs w:val="28"/>
        </w:rPr>
        <w:t>4</w:t>
      </w:r>
      <w:r>
        <w:rPr>
          <w:i/>
          <w:iCs/>
          <w:sz w:val="28"/>
          <w:szCs w:val="28"/>
          <w:lang w:val="vi-VN"/>
        </w:rPr>
        <w:t xml:space="preserve"> năm 202</w:t>
      </w:r>
      <w:r>
        <w:rPr>
          <w:i/>
          <w:iCs/>
          <w:sz w:val="28"/>
          <w:szCs w:val="28"/>
        </w:rPr>
        <w:t>6</w:t>
      </w:r>
      <w:r>
        <w:rPr>
          <w:i/>
          <w:iCs/>
          <w:sz w:val="28"/>
          <w:szCs w:val="28"/>
          <w:lang w:val="vi-VN"/>
        </w:rPr>
        <w:t xml:space="preserve"> của Thủ tướng Chính phủ </w:t>
      </w:r>
      <w:bookmarkStart w:id="3" w:name="_Hlk227594255"/>
      <w:r>
        <w:rPr>
          <w:i/>
          <w:iCs/>
          <w:sz w:val="28"/>
          <w:szCs w:val="28"/>
          <w:lang w:val="vi-VN"/>
        </w:rPr>
        <w:t>quy định nguyên tắc, tiêu chí, định mức phân bổ v</w:t>
      </w:r>
      <w:r>
        <w:rPr>
          <w:i/>
          <w:iCs/>
          <w:sz w:val="28"/>
          <w:szCs w:val="28"/>
        </w:rPr>
        <w:t>ố</w:t>
      </w:r>
      <w:r>
        <w:rPr>
          <w:i/>
          <w:iCs/>
          <w:sz w:val="28"/>
          <w:szCs w:val="28"/>
          <w:lang w:val="vi-VN"/>
        </w:rPr>
        <w:t>n ngân sách trung ương và tỷ lệ vốn đối ứng của ngân sách địa phương thực hiện Chương trình</w:t>
      </w:r>
      <w:bookmarkEnd w:id="3"/>
      <w:r>
        <w:rPr>
          <w:i/>
          <w:iCs/>
          <w:sz w:val="28"/>
          <w:szCs w:val="28"/>
          <w:lang w:val="vi-VN"/>
        </w:rPr>
        <w:t xml:space="preserve"> </w:t>
      </w:r>
      <w:r>
        <w:rPr>
          <w:rFonts w:eastAsia="Calibri"/>
          <w:i/>
          <w:sz w:val="28"/>
          <w:szCs w:val="28"/>
        </w:rPr>
        <w:t>mục tiêu quốc gia xây dựng nông thôn mới, giảm nghèo bền vững và phát triển kinh tế -  xã hội vùng đồng bào dân tộc thiểu số và miền núi, giai đoạn 2026-2030</w:t>
      </w:r>
      <w:r>
        <w:rPr>
          <w:i/>
          <w:iCs/>
          <w:sz w:val="28"/>
          <w:szCs w:val="28"/>
          <w:lang w:val="vi-VN"/>
        </w:rPr>
        <w:t>;</w:t>
      </w:r>
    </w:p>
    <w:p>
      <w:pPr>
        <w:pStyle w:val="NormalWeb"/>
        <w:shd w:val="clear" w:color="auto" w:fill="FFFFFF"/>
        <w:spacing w:before="120" w:beforeAutospacing="0" w:after="120" w:afterAutospacing="0" w:line="283" w:lineRule="auto"/>
        <w:ind w:firstLine="567"/>
        <w:jc w:val="both"/>
        <w:rPr>
          <w:rFonts w:eastAsiaTheme="minorHAnsi"/>
          <w:i/>
          <w:iCs/>
          <w:color w:val="000000"/>
          <w:sz w:val="28"/>
          <w:szCs w:val="28"/>
        </w:rPr>
      </w:pPr>
      <w:r>
        <w:rPr>
          <w:rFonts w:eastAsiaTheme="minorHAnsi"/>
          <w:i/>
          <w:iCs/>
          <w:color w:val="000000"/>
          <w:sz w:val="28"/>
          <w:szCs w:val="28"/>
        </w:rPr>
        <w:t>Căn cứ Nghị định số 272/2025/NĐ-CP ngày 16/10/2025 của Chính phủ về phân định vùng đồng bào dân tộc thiểu số và miền núi giai đoạn 2026 - 2030;</w:t>
      </w:r>
    </w:p>
    <w:p>
      <w:pPr>
        <w:pStyle w:val="NormalWeb"/>
        <w:shd w:val="clear" w:color="auto" w:fill="FFFFFF"/>
        <w:spacing w:before="120" w:beforeAutospacing="0" w:after="120" w:afterAutospacing="0" w:line="283" w:lineRule="auto"/>
        <w:ind w:firstLine="567"/>
        <w:jc w:val="both"/>
        <w:rPr>
          <w:i/>
          <w:iCs/>
          <w:sz w:val="28"/>
          <w:szCs w:val="28"/>
        </w:rPr>
      </w:pPr>
      <w:r>
        <w:rPr>
          <w:i/>
          <w:iCs/>
          <w:sz w:val="28"/>
          <w:szCs w:val="28"/>
        </w:rPr>
        <w:t>Căn cứ Quyết định số 267/QĐ-UBND ngày 21/01/2026 của UBND tỉnh về việc phê duyệt danh sách thôn vùng đồng bào dân tộc thiểu số và miền núi, thôn đặc biệt khó khăn; xã vùng đồng bào dân tộc thiểu số và miền núi, xã khu vực I, II, III tỉnh Thanh Hoá, giai đoạn 2026-2030;</w:t>
      </w:r>
    </w:p>
    <w:p>
      <w:pPr>
        <w:spacing w:before="120" w:after="120" w:line="283" w:lineRule="auto"/>
        <w:ind w:left="-140" w:right="-168" w:firstLine="707"/>
        <w:jc w:val="both"/>
        <w:rPr>
          <w:i/>
          <w:iCs/>
          <w:szCs w:val="28"/>
        </w:rPr>
      </w:pPr>
      <w:r>
        <w:rPr>
          <w:i/>
          <w:iCs/>
          <w:szCs w:val="28"/>
          <w:lang w:val="vi-VN"/>
        </w:rPr>
        <w:t>Xét Tờ trình số </w:t>
      </w:r>
      <w:r>
        <w:rPr>
          <w:i/>
          <w:iCs/>
          <w:szCs w:val="28"/>
        </w:rPr>
        <w:t xml:space="preserve">      </w:t>
      </w:r>
      <w:r>
        <w:rPr>
          <w:i/>
          <w:iCs/>
          <w:szCs w:val="28"/>
          <w:lang w:val="vi-VN"/>
        </w:rPr>
        <w:t xml:space="preserve">/TTr-UBND ngày </w:t>
      </w:r>
      <w:r>
        <w:rPr>
          <w:i/>
          <w:iCs/>
          <w:szCs w:val="28"/>
        </w:rPr>
        <w:t xml:space="preserve">    </w:t>
      </w:r>
      <w:r>
        <w:rPr>
          <w:i/>
          <w:iCs/>
          <w:szCs w:val="28"/>
          <w:lang w:val="vi-VN"/>
        </w:rPr>
        <w:t xml:space="preserve"> tháng </w:t>
      </w:r>
      <w:r>
        <w:rPr>
          <w:i/>
          <w:iCs/>
          <w:szCs w:val="28"/>
        </w:rPr>
        <w:t xml:space="preserve">    </w:t>
      </w:r>
      <w:r>
        <w:rPr>
          <w:i/>
          <w:iCs/>
          <w:szCs w:val="28"/>
          <w:lang w:val="vi-VN"/>
        </w:rPr>
        <w:t xml:space="preserve"> năm 202</w:t>
      </w:r>
      <w:r>
        <w:rPr>
          <w:i/>
          <w:iCs/>
          <w:szCs w:val="28"/>
        </w:rPr>
        <w:t>6</w:t>
      </w:r>
      <w:r>
        <w:rPr>
          <w:i/>
          <w:iCs/>
          <w:szCs w:val="28"/>
          <w:lang w:val="vi-VN"/>
        </w:rPr>
        <w:t xml:space="preserve"> của Ủy ban nhân dân tỉnh đề nghị ban hành Nghị quyết của Hội đồng nhân dân tỉnh </w:t>
      </w:r>
      <w:r>
        <w:rPr>
          <w:rFonts w:eastAsia="Calibri" w:cs="Times New Roman"/>
          <w:i/>
          <w:szCs w:val="28"/>
        </w:rPr>
        <w:t xml:space="preserve">Quy định nguyên tắc, tiêu chí, định mức phân bổ vốn ngân sách trung ương và tỷ lệ vốn đối ứng của ngân sách địa phương </w:t>
      </w:r>
      <w:r>
        <w:rPr>
          <w:rFonts w:eastAsia="Calibri"/>
          <w:i/>
          <w:szCs w:val="28"/>
        </w:rPr>
        <w:t>thực hiện Chương trình mục tiêu quốc gia xây dựng nông thôn mới, giảm nghèo bền vững và phát triển kinh tế -  xã hội vùng đồng bào dân tộc thiểu số và miền núi trên địa bàn tỉnh Thanh Hoá, giai đoạn 2026-2030</w:t>
      </w:r>
      <w:r>
        <w:rPr>
          <w:i/>
          <w:iCs/>
          <w:szCs w:val="28"/>
          <w:lang w:val="vi-VN"/>
        </w:rPr>
        <w:t>; Báo cáo s</w:t>
      </w:r>
      <w:r>
        <w:rPr>
          <w:i/>
          <w:iCs/>
          <w:szCs w:val="28"/>
        </w:rPr>
        <w:t xml:space="preserve">ố       </w:t>
      </w:r>
      <w:r>
        <w:rPr>
          <w:i/>
          <w:iCs/>
          <w:szCs w:val="28"/>
          <w:lang w:val="vi-VN"/>
        </w:rPr>
        <w:t xml:space="preserve">/BC-KTNS ngày </w:t>
      </w:r>
      <w:r>
        <w:rPr>
          <w:i/>
          <w:iCs/>
          <w:szCs w:val="28"/>
        </w:rPr>
        <w:t xml:space="preserve">    </w:t>
      </w:r>
      <w:r>
        <w:rPr>
          <w:i/>
          <w:iCs/>
          <w:szCs w:val="28"/>
          <w:lang w:val="vi-VN"/>
        </w:rPr>
        <w:t xml:space="preserve"> tháng </w:t>
      </w:r>
      <w:r>
        <w:rPr>
          <w:i/>
          <w:iCs/>
          <w:szCs w:val="28"/>
        </w:rPr>
        <w:t xml:space="preserve">   </w:t>
      </w:r>
      <w:r>
        <w:rPr>
          <w:i/>
          <w:iCs/>
          <w:szCs w:val="28"/>
          <w:lang w:val="vi-VN"/>
        </w:rPr>
        <w:t xml:space="preserve"> năm 202</w:t>
      </w:r>
      <w:r>
        <w:rPr>
          <w:i/>
          <w:iCs/>
          <w:szCs w:val="28"/>
        </w:rPr>
        <w:t>6</w:t>
      </w:r>
      <w:r>
        <w:rPr>
          <w:i/>
          <w:iCs/>
          <w:szCs w:val="28"/>
          <w:lang w:val="vi-VN"/>
        </w:rPr>
        <w:t xml:space="preserve"> của Ban Kinh tế - Ngân sách Hội đồng nhân dân tỉnh về việc thẩm tra dự thảo Nghị quyết của Hội đồng nhân dân tỉnh </w:t>
      </w:r>
      <w:r>
        <w:rPr>
          <w:rFonts w:eastAsia="Calibri" w:cs="Times New Roman"/>
          <w:i/>
          <w:szCs w:val="28"/>
        </w:rPr>
        <w:t xml:space="preserve">Quy định nguyên tắc, tiêu chí, định mức phân bổ vốn ngân sách trung ương và tỷ lệ vốn đối ứng của ngân sách địa phương </w:t>
      </w:r>
      <w:r>
        <w:rPr>
          <w:rFonts w:eastAsia="Calibri"/>
          <w:i/>
          <w:szCs w:val="28"/>
        </w:rPr>
        <w:t xml:space="preserve">thực hiện </w:t>
      </w:r>
      <w:bookmarkStart w:id="4" w:name="_Hlk227594162"/>
      <w:r>
        <w:rPr>
          <w:rFonts w:eastAsia="Calibri"/>
          <w:i/>
          <w:szCs w:val="28"/>
        </w:rPr>
        <w:t xml:space="preserve">Chương trình mục tiêu quốc gia xây dựng nông thôn mới, giảm nghèo bền vững và phát triển kinh tế -  xã hội vùng đồng </w:t>
      </w:r>
      <w:r>
        <w:rPr>
          <w:rFonts w:eastAsia="Calibri"/>
          <w:i/>
          <w:szCs w:val="28"/>
        </w:rPr>
        <w:lastRenderedPageBreak/>
        <w:t>bào dân tộc thiểu số và miền núi trên địa bàn tỉnh Thanh Hoá, giai đoạn 2026-2030</w:t>
      </w:r>
      <w:bookmarkEnd w:id="4"/>
      <w:r>
        <w:rPr>
          <w:i/>
          <w:iCs/>
          <w:szCs w:val="28"/>
          <w:lang w:val="vi-VN"/>
        </w:rPr>
        <w:t>; ý kiến thảo luận của đại biểu Hội đồng nhân dân tỉnh tại kỳ họp</w:t>
      </w:r>
      <w:r>
        <w:rPr>
          <w:i/>
          <w:iCs/>
          <w:szCs w:val="28"/>
        </w:rPr>
        <w:t>;</w:t>
      </w:r>
    </w:p>
    <w:p>
      <w:pPr>
        <w:pStyle w:val="NormalWeb"/>
        <w:shd w:val="clear" w:color="auto" w:fill="FFFFFF"/>
        <w:spacing w:before="120" w:beforeAutospacing="0" w:after="120" w:afterAutospacing="0" w:line="283" w:lineRule="auto"/>
        <w:ind w:firstLine="567"/>
        <w:jc w:val="both"/>
        <w:rPr>
          <w:sz w:val="28"/>
          <w:szCs w:val="28"/>
        </w:rPr>
      </w:pPr>
      <w:r>
        <w:rPr>
          <w:i/>
          <w:sz w:val="28"/>
          <w:szCs w:val="28"/>
        </w:rPr>
        <w:t xml:space="preserve">Hội đồng nhân dân tỉnh ban hành Nghị quyết </w:t>
      </w:r>
      <w:r>
        <w:rPr>
          <w:rFonts w:eastAsia="Calibri"/>
          <w:i/>
          <w:sz w:val="28"/>
          <w:szCs w:val="28"/>
        </w:rPr>
        <w:t>Quy định nguyên tắc, tiêu chí, định mức phân bổ vốn ngân sách trung ương và tỷ lệ vốn đối ứng của ngân sách địa phương thực hiện Chương trình mục tiêu quốc gia xây dựng nông thôn mới, giảm nghèo bền vững và phát triển kinh tế -  xã hội vùng đồng bào dân tộc thiểu số và miền núi trên địa bàn tỉnh Thanh Hoá, giai đoạn 2026-2030</w:t>
      </w:r>
      <w:r>
        <w:rPr>
          <w:i/>
          <w:sz w:val="28"/>
          <w:szCs w:val="28"/>
        </w:rPr>
        <w:t>.</w:t>
      </w:r>
    </w:p>
    <w:p>
      <w:pPr>
        <w:pStyle w:val="NormalWeb"/>
        <w:shd w:val="clear" w:color="auto" w:fill="FFFFFF"/>
        <w:spacing w:before="120" w:beforeAutospacing="0" w:after="120" w:afterAutospacing="0" w:line="283" w:lineRule="auto"/>
        <w:ind w:right="140" w:firstLine="567"/>
        <w:jc w:val="both"/>
        <w:rPr>
          <w:sz w:val="28"/>
          <w:szCs w:val="28"/>
        </w:rPr>
      </w:pPr>
      <w:bookmarkStart w:id="5" w:name="dieu_1"/>
      <w:r>
        <w:rPr>
          <w:b/>
          <w:bCs/>
          <w:sz w:val="28"/>
          <w:szCs w:val="28"/>
          <w:lang w:val="vi-VN"/>
        </w:rPr>
        <w:t>Điều 1.</w:t>
      </w:r>
      <w:bookmarkEnd w:id="5"/>
      <w:r>
        <w:rPr>
          <w:sz w:val="28"/>
          <w:szCs w:val="28"/>
          <w:lang w:val="vi-VN"/>
        </w:rPr>
        <w:t> </w:t>
      </w:r>
      <w:r>
        <w:rPr>
          <w:sz w:val="28"/>
          <w:szCs w:val="28"/>
        </w:rPr>
        <w:t xml:space="preserve">Ban hành kèm theo Nghị quyết này </w:t>
      </w:r>
      <w:r>
        <w:rPr>
          <w:rFonts w:eastAsia="Calibri"/>
          <w:sz w:val="28"/>
          <w:szCs w:val="28"/>
        </w:rPr>
        <w:t>Quy định nguyên tắc, tiêu chí, định mức phân bổ vốn ngân sách trung ương và tỷ lệ vốn đối ứng của ngân sách địa phương thực hiện Chương trình mục tiêu quốc gia xây dựng nông thôn mới, giảm nghèo bền vững và phát triển kinh tế -  xã hội vùng đồng bào dân tộc thiểu số và miền núi trên địa bàn tỉnh Thanh Hoá, giai đoạn 2026-2030.</w:t>
      </w:r>
    </w:p>
    <w:p>
      <w:pPr>
        <w:pStyle w:val="NormalWeb"/>
        <w:shd w:val="clear" w:color="auto" w:fill="FFFFFF"/>
        <w:spacing w:before="120" w:beforeAutospacing="0" w:after="120" w:afterAutospacing="0" w:line="276" w:lineRule="auto"/>
        <w:ind w:firstLine="567"/>
        <w:jc w:val="both"/>
        <w:rPr>
          <w:b/>
          <w:bCs/>
          <w:sz w:val="28"/>
          <w:szCs w:val="28"/>
        </w:rPr>
      </w:pPr>
      <w:bookmarkStart w:id="6" w:name="dieu_2"/>
      <w:r>
        <w:rPr>
          <w:b/>
          <w:bCs/>
          <w:sz w:val="28"/>
          <w:szCs w:val="28"/>
        </w:rPr>
        <w:t>Điều 2. Điều khoản chuyển tiếp</w:t>
      </w:r>
    </w:p>
    <w:p>
      <w:pPr>
        <w:pStyle w:val="NormalWeb"/>
        <w:shd w:val="clear" w:color="auto" w:fill="FFFFFF"/>
        <w:spacing w:before="120" w:beforeAutospacing="0" w:after="120" w:afterAutospacing="0" w:line="276" w:lineRule="auto"/>
        <w:ind w:firstLine="567"/>
        <w:jc w:val="both"/>
        <w:rPr>
          <w:bCs/>
          <w:sz w:val="28"/>
          <w:szCs w:val="28"/>
          <w:shd w:val="clear" w:color="auto" w:fill="FFFFFF"/>
        </w:rPr>
      </w:pPr>
      <w:r>
        <w:rPr>
          <w:bCs/>
          <w:sz w:val="28"/>
          <w:szCs w:val="28"/>
          <w:shd w:val="clear" w:color="auto" w:fill="FFFFFF"/>
        </w:rPr>
        <w:t>Đối với ngân sách nhà nước năm 2025 (bao gồm cả vốn của năm 2021, năm 2022, năm 2023, năm 2024 đã được chuyển nguồn sang năm 2025) của 03 chương trình mục tiêu quốc gia (xây dựng nông thôn mới, giảm nghèo bền vững, phát triển kinh tế - xã hội vùng đồng bào dân tộc thiểu số và miền núi) chưa thực hiện hoặc chưa giải ngân hết trong năm 2025 được kéo dài thời gian thực hiện, giải ngân đến hết ngày 31/12/2026: Thực hiện theo khoản b Điều 7 Nghị quyết số 257/2025/QH15 ngày 11/12/2025 của Quốc Hội và tiếp tục áp dụng nguyên tắc, tiêu chí, định mức phân bổ của 03 Chương trình trong giai đoạn 2021 - 2025 theo các Nghị quyết của HĐND tỉnh (gồm: Nghị quyết số 256/2022/NQ-HĐND ngày 13/7/2022; số 22/2025/NQ-HĐND ngày 21/7/2025; Nghị quyết số 258/2022/NQ-HĐND ngày 13/7/2022; Nghị quyết số 12/2023/NQ-HĐND ngày 29/9/2023; Nghị quyết số 15/2025/NQ-HĐND ngày 21/7/2025; Nghị quyết số 257/2022/NQ-HĐND ngày 13/7/2022; Nghị quyết số 33/2025/NQ-HĐND ngày 21/7/2025) để thực hiện.</w:t>
      </w:r>
    </w:p>
    <w:p>
      <w:pPr>
        <w:pStyle w:val="NormalWeb"/>
        <w:shd w:val="clear" w:color="auto" w:fill="FFFFFF"/>
        <w:spacing w:before="120" w:beforeAutospacing="0" w:after="120" w:afterAutospacing="0" w:line="283" w:lineRule="auto"/>
        <w:ind w:firstLine="567"/>
        <w:jc w:val="both"/>
        <w:rPr>
          <w:sz w:val="28"/>
          <w:szCs w:val="28"/>
        </w:rPr>
      </w:pPr>
      <w:r>
        <w:rPr>
          <w:b/>
          <w:bCs/>
          <w:sz w:val="28"/>
          <w:szCs w:val="28"/>
          <w:lang w:val="vi-VN"/>
        </w:rPr>
        <w:t xml:space="preserve">Điều </w:t>
      </w:r>
      <w:r>
        <w:rPr>
          <w:b/>
          <w:bCs/>
          <w:sz w:val="28"/>
          <w:szCs w:val="28"/>
        </w:rPr>
        <w:t>3</w:t>
      </w:r>
      <w:r>
        <w:rPr>
          <w:b/>
          <w:bCs/>
          <w:sz w:val="28"/>
          <w:szCs w:val="28"/>
          <w:lang w:val="vi-VN"/>
        </w:rPr>
        <w:t>. Điều khoản thi hành</w:t>
      </w:r>
      <w:bookmarkEnd w:id="6"/>
    </w:p>
    <w:p>
      <w:pPr>
        <w:pStyle w:val="NormalWeb"/>
        <w:shd w:val="clear" w:color="auto" w:fill="FFFFFF"/>
        <w:spacing w:before="120" w:beforeAutospacing="0" w:after="120" w:afterAutospacing="0" w:line="283" w:lineRule="auto"/>
        <w:ind w:firstLine="567"/>
        <w:jc w:val="both"/>
        <w:rPr>
          <w:sz w:val="28"/>
          <w:szCs w:val="28"/>
        </w:rPr>
      </w:pPr>
      <w:r>
        <w:rPr>
          <w:sz w:val="28"/>
          <w:szCs w:val="28"/>
          <w:lang w:val="vi-VN"/>
        </w:rPr>
        <w:t xml:space="preserve">1. </w:t>
      </w:r>
      <w:r>
        <w:rPr>
          <w:sz w:val="28"/>
          <w:szCs w:val="28"/>
        </w:rPr>
        <w:t xml:space="preserve">Căn cứ </w:t>
      </w:r>
      <w:r>
        <w:rPr>
          <w:rFonts w:eastAsia="Calibri"/>
          <w:sz w:val="28"/>
          <w:szCs w:val="28"/>
        </w:rPr>
        <w:t xml:space="preserve">nguyên tắc, tiêu chí, định mức phân bổ vốn ngân sách trung ương và tỷ lệ vốn đối ứng của ngân sách địa phương thực hiện Chương trình mục tiêu quốc gia xây dựng nông thôn mới, giảm nghèo bền vững và phát triển kinh tế -  xã hội vùng đồng bào dân tộc thiểu số và miền núi trên địa bàn tỉnh Thanh Hoá, giai đoạn 2026-2030 theo quy định trên, giao </w:t>
      </w:r>
      <w:r>
        <w:rPr>
          <w:sz w:val="28"/>
          <w:szCs w:val="28"/>
        </w:rPr>
        <w:t>Uỷ ban nhân dân tỉnh tổ chức triển khai thực hiện Nghị quyết hiệu quả, đúng quy định; định kỳ tổng hợp báo cáo Chính phủ, các Bộ, ngành Trung ương, Tỉnh uỷ, Hội đồng nhân dân tỉnh kết quả thực hiện Chương trình theo quy định</w:t>
      </w:r>
      <w:r>
        <w:rPr>
          <w:sz w:val="28"/>
          <w:szCs w:val="28"/>
          <w:lang w:val="vi-VN"/>
        </w:rPr>
        <w:t>.</w:t>
      </w:r>
    </w:p>
    <w:p>
      <w:pPr>
        <w:pStyle w:val="NormalWeb"/>
        <w:shd w:val="clear" w:color="auto" w:fill="FFFFFF"/>
        <w:spacing w:before="120" w:beforeAutospacing="0" w:after="120" w:afterAutospacing="0" w:line="276" w:lineRule="auto"/>
        <w:ind w:firstLine="567"/>
        <w:jc w:val="both"/>
        <w:rPr>
          <w:sz w:val="28"/>
          <w:szCs w:val="28"/>
        </w:rPr>
      </w:pPr>
      <w:r>
        <w:rPr>
          <w:sz w:val="28"/>
          <w:szCs w:val="28"/>
        </w:rPr>
        <w:lastRenderedPageBreak/>
        <w:t xml:space="preserve">2. </w:t>
      </w:r>
      <w:r>
        <w:rPr>
          <w:bCs/>
          <w:sz w:val="28"/>
          <w:szCs w:val="28"/>
          <w:shd w:val="clear" w:color="auto" w:fill="FFFFFF"/>
        </w:rPr>
        <w:t xml:space="preserve">Nghị quyết số 256/2022/NQ-HĐND ngày 13/7/2022; số 22/2025/NQ-HĐND ngày 21/7/2025; Nghị quyết số 258/2022/NQ-HĐND ngày 13/7/2022; Nghị quyết số 12/2023/NQ-HĐND ngày 29/9/2023; Nghị quyết số 15/2025/NQ-HĐND ngày 21/7/2025; Nghị quyết số 257/2022/NQ-HĐND ngày 13/7/2022; Nghị quyết số 33/2025/NQ-HĐND ngày 21/7/2025 </w:t>
      </w:r>
      <w:r>
        <w:rPr>
          <w:rStyle w:val="ng-star-inserted"/>
          <w:sz w:val="28"/>
          <w:szCs w:val="28"/>
          <w:shd w:val="clear" w:color="auto" w:fill="FFFFFF"/>
        </w:rPr>
        <w:t xml:space="preserve">của Hội đồng nhân dân tỉnh </w:t>
      </w:r>
      <w:r>
        <w:rPr>
          <w:bCs/>
          <w:sz w:val="28"/>
          <w:szCs w:val="28"/>
          <w:shd w:val="clear" w:color="auto" w:fill="FFFFFF"/>
        </w:rPr>
        <w:t>hết hiệu lực thi hành kể từ ngày Nghị quyết này có hiệu lực thi hành</w:t>
      </w:r>
      <w:r>
        <w:rPr>
          <w:rStyle w:val="ng-star-inserted"/>
          <w:sz w:val="28"/>
          <w:szCs w:val="28"/>
          <w:shd w:val="clear" w:color="auto" w:fill="FFFFFF"/>
        </w:rPr>
        <w:t xml:space="preserve">, trừ trường hợp quy định tại Điều 2 </w:t>
      </w:r>
      <w:r>
        <w:rPr>
          <w:i/>
          <w:iCs/>
          <w:sz w:val="28"/>
          <w:szCs w:val="28"/>
          <w:shd w:val="clear" w:color="auto" w:fill="FFFFFF"/>
        </w:rPr>
        <w:t>(Điều khoản chuyển tiếp)</w:t>
      </w:r>
      <w:r>
        <w:rPr>
          <w:rStyle w:val="ng-star-inserted"/>
          <w:sz w:val="28"/>
          <w:szCs w:val="28"/>
          <w:shd w:val="clear" w:color="auto" w:fill="FFFFFF"/>
        </w:rPr>
        <w:t xml:space="preserve"> của Nghị quyết này.</w:t>
      </w:r>
    </w:p>
    <w:p>
      <w:pPr>
        <w:pStyle w:val="NormalWeb"/>
        <w:shd w:val="clear" w:color="auto" w:fill="FFFFFF"/>
        <w:spacing w:before="120" w:beforeAutospacing="0" w:after="120" w:afterAutospacing="0" w:line="283" w:lineRule="auto"/>
        <w:ind w:firstLine="567"/>
        <w:jc w:val="both"/>
        <w:rPr>
          <w:sz w:val="28"/>
          <w:szCs w:val="28"/>
        </w:rPr>
      </w:pPr>
      <w:r>
        <w:rPr>
          <w:sz w:val="28"/>
          <w:szCs w:val="28"/>
        </w:rPr>
        <w:t>3</w:t>
      </w:r>
      <w:r>
        <w:rPr>
          <w:sz w:val="28"/>
          <w:szCs w:val="28"/>
          <w:lang w:val="vi-VN"/>
        </w:rPr>
        <w:t>. Thường trực Hội đồng nhân dân tỉnh, các Ban của Hội đồng nhân dân tỉnh, các Tổ đại biểu Hội đồng nhân dân tỉnh và đại biểu Hội đồng nhân dân tỉnh, trong phạm vi chức năng, nhiệm vụ và quyền hạn của mình, giám sát việc thực hiện Nghị quyết này.</w:t>
      </w:r>
    </w:p>
    <w:p>
      <w:pPr>
        <w:pStyle w:val="NormalWeb"/>
        <w:shd w:val="clear" w:color="auto" w:fill="FFFFFF"/>
        <w:spacing w:before="120" w:beforeAutospacing="0" w:after="120" w:afterAutospacing="0" w:line="283" w:lineRule="auto"/>
        <w:ind w:firstLine="567"/>
        <w:jc w:val="both"/>
        <w:rPr>
          <w:i/>
          <w:sz w:val="28"/>
          <w:szCs w:val="28"/>
        </w:rPr>
      </w:pPr>
      <w:r>
        <w:rPr>
          <w:i/>
          <w:sz w:val="28"/>
          <w:szCs w:val="28"/>
          <w:lang w:val="vi-VN"/>
        </w:rPr>
        <w:t xml:space="preserve">Nghị quyết này đã được Hội đồng nhân dân tỉnh khoá XVIII, kỳ họp thứ </w:t>
      </w:r>
      <w:r>
        <w:rPr>
          <w:i/>
          <w:sz w:val="28"/>
          <w:szCs w:val="28"/>
        </w:rPr>
        <w:t>…..</w:t>
      </w:r>
      <w:r>
        <w:rPr>
          <w:i/>
          <w:sz w:val="28"/>
          <w:szCs w:val="28"/>
          <w:lang w:val="vi-VN"/>
        </w:rPr>
        <w:t xml:space="preserve"> thông qua ngày </w:t>
      </w:r>
      <w:r>
        <w:rPr>
          <w:i/>
          <w:sz w:val="28"/>
          <w:szCs w:val="28"/>
        </w:rPr>
        <w:t>…</w:t>
      </w:r>
      <w:r>
        <w:rPr>
          <w:i/>
          <w:sz w:val="28"/>
          <w:szCs w:val="28"/>
          <w:lang w:val="vi-VN"/>
        </w:rPr>
        <w:t xml:space="preserve"> tháng </w:t>
      </w:r>
      <w:r>
        <w:rPr>
          <w:i/>
          <w:sz w:val="28"/>
          <w:szCs w:val="28"/>
        </w:rPr>
        <w:t>…</w:t>
      </w:r>
      <w:r>
        <w:rPr>
          <w:i/>
          <w:sz w:val="28"/>
          <w:szCs w:val="28"/>
          <w:lang w:val="vi-VN"/>
        </w:rPr>
        <w:t xml:space="preserve"> năm 202</w:t>
      </w:r>
      <w:r>
        <w:rPr>
          <w:i/>
          <w:sz w:val="28"/>
          <w:szCs w:val="28"/>
        </w:rPr>
        <w:t>6</w:t>
      </w:r>
      <w:r>
        <w:rPr>
          <w:i/>
          <w:sz w:val="28"/>
          <w:szCs w:val="28"/>
          <w:lang w:val="vi-VN"/>
        </w:rPr>
        <w:t xml:space="preserve"> và có hiệu lực thi hành kể từ ngày </w:t>
      </w:r>
      <w:r>
        <w:rPr>
          <w:i/>
          <w:sz w:val="28"/>
          <w:szCs w:val="28"/>
        </w:rPr>
        <w:t>…</w:t>
      </w:r>
      <w:r>
        <w:rPr>
          <w:i/>
          <w:sz w:val="28"/>
          <w:szCs w:val="28"/>
          <w:lang w:val="vi-VN"/>
        </w:rPr>
        <w:t xml:space="preserve"> tháng </w:t>
      </w:r>
      <w:r>
        <w:rPr>
          <w:i/>
          <w:sz w:val="28"/>
          <w:szCs w:val="28"/>
        </w:rPr>
        <w:t>…</w:t>
      </w:r>
      <w:r>
        <w:rPr>
          <w:i/>
          <w:sz w:val="28"/>
          <w:szCs w:val="28"/>
          <w:lang w:val="vi-VN"/>
        </w:rPr>
        <w:t xml:space="preserve"> năm 202</w:t>
      </w:r>
      <w:r>
        <w:rPr>
          <w:i/>
          <w:sz w:val="28"/>
          <w:szCs w:val="28"/>
        </w:rPr>
        <w:t>6</w:t>
      </w:r>
      <w:r>
        <w:rPr>
          <w:i/>
          <w:sz w:val="28"/>
          <w:szCs w:val="28"/>
          <w:lang w:val="vi-VN"/>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5846"/>
        <w:gridCol w:w="3226"/>
      </w:tblGrid>
      <w:tr>
        <w:trPr>
          <w:tblCellSpacing w:w="0" w:type="dxa"/>
        </w:trPr>
        <w:tc>
          <w:tcPr>
            <w:tcW w:w="5920" w:type="dxa"/>
            <w:shd w:val="clear" w:color="auto" w:fill="FFFFFF"/>
            <w:tcMar>
              <w:top w:w="0" w:type="dxa"/>
              <w:left w:w="108" w:type="dxa"/>
              <w:bottom w:w="0" w:type="dxa"/>
              <w:right w:w="108" w:type="dxa"/>
            </w:tcMar>
            <w:hideMark/>
          </w:tcPr>
          <w:p>
            <w:pPr>
              <w:pStyle w:val="NormalWeb"/>
              <w:spacing w:before="0" w:beforeAutospacing="0" w:after="0" w:afterAutospacing="0"/>
              <w:rPr>
                <w:sz w:val="22"/>
                <w:szCs w:val="22"/>
                <w:lang w:val="vi-VN"/>
              </w:rPr>
            </w:pPr>
            <w:r>
              <w:rPr>
                <w:sz w:val="28"/>
                <w:szCs w:val="28"/>
              </w:rPr>
              <w:t> </w:t>
            </w:r>
            <w:r>
              <w:rPr>
                <w:b/>
                <w:bCs/>
                <w:i/>
                <w:iCs/>
                <w:lang w:val="vi-VN"/>
              </w:rPr>
              <w:t>Nơi nhận:</w:t>
            </w:r>
            <w:r>
              <w:rPr>
                <w:b/>
                <w:bCs/>
                <w:i/>
                <w:iCs/>
                <w:sz w:val="18"/>
                <w:szCs w:val="18"/>
                <w:lang w:val="vi-VN"/>
              </w:rPr>
              <w:br/>
            </w:r>
            <w:r>
              <w:rPr>
                <w:sz w:val="22"/>
                <w:szCs w:val="22"/>
                <w:lang w:val="vi-VN"/>
              </w:rPr>
              <w:t>- Như Điều 3;</w:t>
            </w:r>
            <w:r>
              <w:rPr>
                <w:sz w:val="22"/>
                <w:szCs w:val="22"/>
                <w:lang w:val="vi-VN"/>
              </w:rPr>
              <w:br/>
              <w:t>- Ủy ban Thường vụ Quốc hội;</w:t>
            </w:r>
            <w:r>
              <w:rPr>
                <w:sz w:val="22"/>
                <w:szCs w:val="22"/>
                <w:lang w:val="vi-VN"/>
              </w:rPr>
              <w:br/>
              <w:t>- Chính phủ;</w:t>
            </w:r>
          </w:p>
          <w:p>
            <w:pPr>
              <w:pStyle w:val="NormalWeb"/>
              <w:spacing w:before="0" w:beforeAutospacing="0" w:after="0" w:afterAutospacing="0"/>
              <w:rPr>
                <w:sz w:val="22"/>
                <w:szCs w:val="22"/>
                <w:lang w:val="en-GB"/>
              </w:rPr>
            </w:pPr>
            <w:r>
              <w:rPr>
                <w:sz w:val="22"/>
                <w:szCs w:val="22"/>
                <w:lang w:val="vi-VN"/>
              </w:rPr>
              <w:t xml:space="preserve">- Bộ Tài chính, Bộ Nông nghiệp và </w:t>
            </w:r>
            <w:r>
              <w:rPr>
                <w:sz w:val="22"/>
                <w:szCs w:val="22"/>
              </w:rPr>
              <w:t>Môi trường</w:t>
            </w:r>
            <w:r>
              <w:rPr>
                <w:sz w:val="22"/>
                <w:szCs w:val="22"/>
                <w:lang w:val="vi-VN"/>
              </w:rPr>
              <w:t>;</w:t>
            </w:r>
            <w:r>
              <w:rPr>
                <w:sz w:val="22"/>
                <w:szCs w:val="22"/>
                <w:lang w:val="vi-VN"/>
              </w:rPr>
              <w:br/>
              <w:t>- Cục Kiểm tra văn bản</w:t>
            </w:r>
            <w:r>
              <w:rPr>
                <w:sz w:val="22"/>
                <w:szCs w:val="22"/>
              </w:rPr>
              <w:t xml:space="preserve"> và quản lý xử lý vi phạm hành chính</w:t>
            </w:r>
            <w:r>
              <w:rPr>
                <w:sz w:val="22"/>
                <w:szCs w:val="22"/>
                <w:lang w:val="vi-VN"/>
              </w:rPr>
              <w:t xml:space="preserve"> </w:t>
            </w:r>
          </w:p>
          <w:p>
            <w:pPr>
              <w:pStyle w:val="NormalWeb"/>
              <w:spacing w:before="0" w:beforeAutospacing="0" w:after="0" w:afterAutospacing="0"/>
              <w:rPr>
                <w:sz w:val="18"/>
                <w:szCs w:val="18"/>
              </w:rPr>
            </w:pPr>
            <w:r>
              <w:rPr>
                <w:sz w:val="22"/>
                <w:szCs w:val="22"/>
                <w:lang w:val="vi-VN"/>
              </w:rPr>
              <w:t>- Bộ Tư pháp;</w:t>
            </w:r>
            <w:r>
              <w:rPr>
                <w:sz w:val="22"/>
                <w:szCs w:val="22"/>
                <w:lang w:val="vi-VN"/>
              </w:rPr>
              <w:br/>
              <w:t>- Thường trực Tỉnh ủy;</w:t>
            </w:r>
            <w:r>
              <w:rPr>
                <w:sz w:val="22"/>
                <w:szCs w:val="22"/>
                <w:lang w:val="vi-VN"/>
              </w:rPr>
              <w:br/>
              <w:t>- Đoàn đại biểu Quốc hội tỉnh;</w:t>
            </w:r>
            <w:r>
              <w:rPr>
                <w:sz w:val="22"/>
                <w:szCs w:val="22"/>
                <w:lang w:val="vi-VN"/>
              </w:rPr>
              <w:br/>
              <w:t>- Ủy ban MTTQ tỉnh và các đoàn thể cấp t</w:t>
            </w:r>
            <w:r>
              <w:rPr>
                <w:sz w:val="22"/>
                <w:szCs w:val="22"/>
              </w:rPr>
              <w:t>ỉ</w:t>
            </w:r>
            <w:r>
              <w:rPr>
                <w:sz w:val="22"/>
                <w:szCs w:val="22"/>
                <w:lang w:val="vi-VN"/>
              </w:rPr>
              <w:t>nh;</w:t>
            </w:r>
            <w:r>
              <w:rPr>
                <w:sz w:val="22"/>
                <w:szCs w:val="22"/>
                <w:lang w:val="vi-VN"/>
              </w:rPr>
              <w:br/>
              <w:t>- Các VP: T</w:t>
            </w:r>
            <w:r>
              <w:rPr>
                <w:sz w:val="22"/>
                <w:szCs w:val="22"/>
              </w:rPr>
              <w:t>ỉ</w:t>
            </w:r>
            <w:r>
              <w:rPr>
                <w:sz w:val="22"/>
                <w:szCs w:val="22"/>
                <w:lang w:val="vi-VN"/>
              </w:rPr>
              <w:t>nh ủy, Đoàn ĐBQH và HĐND tỉnh, UBND tỉnh;</w:t>
            </w:r>
            <w:r>
              <w:rPr>
                <w:sz w:val="22"/>
                <w:szCs w:val="22"/>
                <w:lang w:val="vi-VN"/>
              </w:rPr>
              <w:br/>
              <w:t>- Các sở, ban, ngành cấp t</w:t>
            </w:r>
            <w:r>
              <w:rPr>
                <w:sz w:val="22"/>
                <w:szCs w:val="22"/>
              </w:rPr>
              <w:t>ỉ</w:t>
            </w:r>
            <w:r>
              <w:rPr>
                <w:sz w:val="22"/>
                <w:szCs w:val="22"/>
                <w:lang w:val="vi-VN"/>
              </w:rPr>
              <w:t>nh;</w:t>
            </w:r>
            <w:r>
              <w:rPr>
                <w:sz w:val="22"/>
                <w:szCs w:val="22"/>
                <w:lang w:val="vi-VN"/>
              </w:rPr>
              <w:br/>
              <w:t>- Thường </w:t>
            </w:r>
            <w:r>
              <w:rPr>
                <w:sz w:val="22"/>
                <w:szCs w:val="22"/>
              </w:rPr>
              <w:t>trự</w:t>
            </w:r>
            <w:r>
              <w:rPr>
                <w:sz w:val="22"/>
                <w:szCs w:val="22"/>
                <w:lang w:val="vi-VN"/>
              </w:rPr>
              <w:t xml:space="preserve">c HĐND, UBND các </w:t>
            </w:r>
            <w:r>
              <w:rPr>
                <w:sz w:val="22"/>
                <w:szCs w:val="22"/>
                <w:lang w:val="en-GB"/>
              </w:rPr>
              <w:t>xã, phường</w:t>
            </w:r>
            <w:r>
              <w:rPr>
                <w:sz w:val="22"/>
                <w:szCs w:val="22"/>
                <w:lang w:val="vi-VN"/>
              </w:rPr>
              <w:t>;</w:t>
            </w:r>
            <w:r>
              <w:rPr>
                <w:sz w:val="22"/>
                <w:szCs w:val="22"/>
                <w:lang w:val="vi-VN"/>
              </w:rPr>
              <w:br/>
              <w:t>- Công báo tỉnh;</w:t>
            </w:r>
            <w:r>
              <w:rPr>
                <w:sz w:val="22"/>
                <w:szCs w:val="22"/>
                <w:lang w:val="vi-VN"/>
              </w:rPr>
              <w:br/>
              <w:t>- Lưu: VT.</w:t>
            </w:r>
          </w:p>
        </w:tc>
        <w:tc>
          <w:tcPr>
            <w:tcW w:w="3260" w:type="dxa"/>
            <w:shd w:val="clear" w:color="auto" w:fill="FFFFFF"/>
            <w:tcMar>
              <w:top w:w="0" w:type="dxa"/>
              <w:left w:w="108" w:type="dxa"/>
              <w:bottom w:w="0" w:type="dxa"/>
              <w:right w:w="108" w:type="dxa"/>
            </w:tcMar>
            <w:hideMark/>
          </w:tcPr>
          <w:p>
            <w:pPr>
              <w:pStyle w:val="NormalWeb"/>
              <w:spacing w:before="120" w:beforeAutospacing="0" w:after="120" w:afterAutospacing="0" w:line="234" w:lineRule="atLeast"/>
              <w:jc w:val="center"/>
              <w:rPr>
                <w:b/>
                <w:bCs/>
                <w:sz w:val="28"/>
                <w:szCs w:val="18"/>
              </w:rPr>
            </w:pPr>
            <w:r>
              <w:rPr>
                <w:b/>
                <w:bCs/>
                <w:sz w:val="28"/>
                <w:szCs w:val="18"/>
                <w:lang w:val="vi-VN"/>
              </w:rPr>
              <w:t xml:space="preserve">     </w:t>
            </w:r>
            <w:r>
              <w:rPr>
                <w:b/>
                <w:bCs/>
                <w:sz w:val="28"/>
                <w:szCs w:val="18"/>
              </w:rPr>
              <w:t>CHỦ TỊCH</w:t>
            </w:r>
            <w:r>
              <w:rPr>
                <w:b/>
                <w:bCs/>
                <w:sz w:val="28"/>
                <w:szCs w:val="18"/>
              </w:rPr>
              <w:br/>
            </w:r>
            <w:r>
              <w:rPr>
                <w:b/>
                <w:bCs/>
                <w:sz w:val="28"/>
                <w:szCs w:val="18"/>
              </w:rPr>
              <w:br/>
            </w:r>
            <w:r>
              <w:rPr>
                <w:b/>
                <w:bCs/>
                <w:sz w:val="28"/>
                <w:szCs w:val="18"/>
              </w:rPr>
              <w:br/>
            </w:r>
          </w:p>
          <w:p>
            <w:pPr>
              <w:pStyle w:val="NormalWeb"/>
              <w:spacing w:before="120" w:beforeAutospacing="0" w:after="120" w:afterAutospacing="0" w:line="234" w:lineRule="atLeast"/>
              <w:jc w:val="center"/>
              <w:rPr>
                <w:sz w:val="18"/>
                <w:szCs w:val="18"/>
              </w:rPr>
            </w:pPr>
            <w:r>
              <w:rPr>
                <w:b/>
                <w:bCs/>
                <w:sz w:val="28"/>
                <w:szCs w:val="18"/>
              </w:rPr>
              <w:br/>
            </w:r>
            <w:r>
              <w:rPr>
                <w:b/>
                <w:bCs/>
                <w:sz w:val="28"/>
                <w:szCs w:val="18"/>
              </w:rPr>
              <w:br/>
            </w:r>
            <w:r>
              <w:rPr>
                <w:b/>
                <w:bCs/>
                <w:sz w:val="28"/>
                <w:szCs w:val="18"/>
                <w:lang w:val="vi-VN"/>
              </w:rPr>
              <w:t xml:space="preserve">      </w:t>
            </w:r>
            <w:r>
              <w:rPr>
                <w:b/>
                <w:bCs/>
                <w:sz w:val="28"/>
                <w:szCs w:val="18"/>
              </w:rPr>
              <w:t>Nguyễn Hồng Phong</w:t>
            </w:r>
          </w:p>
        </w:tc>
      </w:tr>
    </w:tbl>
    <w:p>
      <w:pPr>
        <w:pStyle w:val="NormalWeb"/>
        <w:shd w:val="clear" w:color="auto" w:fill="FFFFFF"/>
        <w:spacing w:before="120" w:beforeAutospacing="0" w:after="120" w:afterAutospacing="0" w:line="234" w:lineRule="atLeast"/>
      </w:pPr>
      <w:r>
        <w:rPr>
          <w:sz w:val="18"/>
          <w:szCs w:val="18"/>
        </w:rPr>
        <w:t> </w:t>
      </w:r>
    </w:p>
    <w:tbl>
      <w:tblPr>
        <w:tblW w:w="0" w:type="auto"/>
        <w:tblInd w:w="-439" w:type="dxa"/>
        <w:tblLook w:val="04A0" w:firstRow="1" w:lastRow="0" w:firstColumn="1" w:lastColumn="0" w:noHBand="0" w:noVBand="1"/>
      </w:tblPr>
      <w:tblGrid>
        <w:gridCol w:w="222"/>
        <w:gridCol w:w="222"/>
        <w:gridCol w:w="222"/>
        <w:gridCol w:w="222"/>
        <w:gridCol w:w="222"/>
        <w:gridCol w:w="222"/>
      </w:tblGrid>
      <w:tr>
        <w:trPr>
          <w:gridAfter w:val="2"/>
          <w:trHeight w:val="690"/>
        </w:trPr>
        <w:tc>
          <w:tcPr>
            <w:tcW w:w="0" w:type="auto"/>
            <w:gridSpan w:val="4"/>
            <w:tcBorders>
              <w:top w:val="nil"/>
              <w:left w:val="nil"/>
              <w:bottom w:val="nil"/>
              <w:right w:val="nil"/>
            </w:tcBorders>
            <w:vAlign w:val="bottom"/>
          </w:tcPr>
          <w:p>
            <w:pPr>
              <w:spacing w:after="0" w:line="240" w:lineRule="auto"/>
              <w:rPr>
                <w:b/>
                <w:sz w:val="24"/>
                <w:szCs w:val="24"/>
              </w:rPr>
            </w:pPr>
          </w:p>
        </w:tc>
      </w:tr>
      <w:tr>
        <w:trPr>
          <w:trHeight w:val="315"/>
        </w:trPr>
        <w:tc>
          <w:tcPr>
            <w:tcW w:w="0" w:type="auto"/>
            <w:tcBorders>
              <w:top w:val="nil"/>
              <w:left w:val="nil"/>
              <w:bottom w:val="nil"/>
              <w:right w:val="nil"/>
            </w:tcBorders>
            <w:noWrap/>
            <w:vAlign w:val="bottom"/>
            <w:hideMark/>
          </w:tcPr>
          <w:p>
            <w:pPr>
              <w:spacing w:after="0" w:line="240" w:lineRule="auto"/>
              <w:jc w:val="center"/>
              <w:rPr>
                <w:rFonts w:eastAsia="Times New Roman" w:cs="Times New Roman"/>
                <w:b/>
                <w:bCs/>
                <w:sz w:val="24"/>
                <w:szCs w:val="24"/>
              </w:rPr>
            </w:pPr>
          </w:p>
        </w:tc>
        <w:tc>
          <w:tcPr>
            <w:tcW w:w="0" w:type="auto"/>
            <w:tcBorders>
              <w:top w:val="nil"/>
              <w:left w:val="nil"/>
              <w:bottom w:val="nil"/>
              <w:right w:val="nil"/>
            </w:tcBorders>
            <w:noWrap/>
            <w:vAlign w:val="bottom"/>
            <w:hideMark/>
          </w:tcPr>
          <w:p>
            <w:pPr>
              <w:spacing w:after="0" w:line="240" w:lineRule="auto"/>
              <w:rPr>
                <w:rFonts w:eastAsia="Times New Roman" w:cs="Times New Roman"/>
                <w:sz w:val="20"/>
                <w:szCs w:val="20"/>
              </w:rPr>
            </w:pPr>
          </w:p>
        </w:tc>
        <w:tc>
          <w:tcPr>
            <w:tcW w:w="0" w:type="auto"/>
            <w:tcBorders>
              <w:top w:val="nil"/>
              <w:left w:val="nil"/>
              <w:bottom w:val="nil"/>
              <w:right w:val="nil"/>
            </w:tcBorders>
            <w:noWrap/>
            <w:vAlign w:val="bottom"/>
            <w:hideMark/>
          </w:tcPr>
          <w:p>
            <w:pPr>
              <w:spacing w:after="0" w:line="240" w:lineRule="auto"/>
              <w:rPr>
                <w:rFonts w:eastAsia="Times New Roman" w:cs="Times New Roman"/>
                <w:sz w:val="20"/>
                <w:szCs w:val="20"/>
              </w:rPr>
            </w:pPr>
          </w:p>
        </w:tc>
        <w:tc>
          <w:tcPr>
            <w:tcW w:w="0" w:type="auto"/>
            <w:tcBorders>
              <w:top w:val="nil"/>
              <w:left w:val="nil"/>
              <w:bottom w:val="nil"/>
              <w:right w:val="nil"/>
            </w:tcBorders>
            <w:noWrap/>
            <w:vAlign w:val="bottom"/>
            <w:hideMark/>
          </w:tcPr>
          <w:p>
            <w:pPr>
              <w:spacing w:after="0" w:line="240" w:lineRule="auto"/>
              <w:jc w:val="center"/>
              <w:rPr>
                <w:rFonts w:eastAsia="Times New Roman" w:cs="Times New Roman"/>
                <w:sz w:val="20"/>
                <w:szCs w:val="20"/>
              </w:rPr>
            </w:pPr>
          </w:p>
        </w:tc>
        <w:tc>
          <w:tcPr>
            <w:tcW w:w="0" w:type="auto"/>
            <w:tcBorders>
              <w:top w:val="nil"/>
              <w:left w:val="nil"/>
              <w:bottom w:val="nil"/>
              <w:right w:val="nil"/>
            </w:tcBorders>
            <w:noWrap/>
            <w:vAlign w:val="bottom"/>
            <w:hideMark/>
          </w:tcPr>
          <w:p>
            <w:pPr>
              <w:spacing w:after="0" w:line="240" w:lineRule="auto"/>
              <w:rPr>
                <w:rFonts w:eastAsia="Times New Roman" w:cs="Times New Roman"/>
                <w:sz w:val="20"/>
                <w:szCs w:val="20"/>
              </w:rPr>
            </w:pPr>
          </w:p>
        </w:tc>
        <w:tc>
          <w:tcPr>
            <w:tcW w:w="0" w:type="auto"/>
            <w:tcBorders>
              <w:top w:val="nil"/>
              <w:left w:val="nil"/>
              <w:bottom w:val="nil"/>
              <w:right w:val="nil"/>
            </w:tcBorders>
            <w:noWrap/>
            <w:vAlign w:val="bottom"/>
            <w:hideMark/>
          </w:tcPr>
          <w:p>
            <w:pPr>
              <w:spacing w:after="0" w:line="240" w:lineRule="auto"/>
              <w:rPr>
                <w:rFonts w:eastAsia="Times New Roman" w:cs="Times New Roman"/>
                <w:sz w:val="20"/>
                <w:szCs w:val="20"/>
              </w:rPr>
            </w:pPr>
          </w:p>
        </w:tc>
      </w:tr>
    </w:tbl>
    <w:p/>
    <w:p>
      <w:r>
        <w:br w:type="page"/>
      </w:r>
    </w:p>
    <w:tbl>
      <w:tblPr>
        <w:tblW w:w="10709" w:type="dxa"/>
        <w:jc w:val="center"/>
        <w:tblLook w:val="0000" w:firstRow="0" w:lastRow="0" w:firstColumn="0" w:lastColumn="0" w:noHBand="0" w:noVBand="0"/>
      </w:tblPr>
      <w:tblGrid>
        <w:gridCol w:w="4747"/>
        <w:gridCol w:w="5962"/>
      </w:tblGrid>
      <w:tr>
        <w:trPr>
          <w:trHeight w:val="1290"/>
          <w:jc w:val="center"/>
        </w:trPr>
        <w:tc>
          <w:tcPr>
            <w:tcW w:w="4747" w:type="dxa"/>
          </w:tcPr>
          <w:p>
            <w:pPr>
              <w:spacing w:after="0"/>
              <w:jc w:val="center"/>
              <w:rPr>
                <w:b/>
                <w:bCs/>
                <w:sz w:val="26"/>
                <w:szCs w:val="26"/>
              </w:rPr>
            </w:pPr>
            <w:r>
              <w:rPr>
                <w:b/>
                <w:bCs/>
                <w:sz w:val="26"/>
                <w:szCs w:val="26"/>
              </w:rPr>
              <w:lastRenderedPageBreak/>
              <w:t>HỘI ĐỒNG NHÂN DÂN</w:t>
            </w:r>
          </w:p>
          <w:p>
            <w:pPr>
              <w:spacing w:after="0"/>
              <w:jc w:val="center"/>
              <w:rPr>
                <w:bCs/>
                <w:sz w:val="26"/>
                <w:szCs w:val="26"/>
              </w:rPr>
            </w:pPr>
            <w:r>
              <w:rPr>
                <w:b/>
                <w:bCs/>
                <w:sz w:val="26"/>
                <w:szCs w:val="26"/>
              </w:rPr>
              <w:t>TỈNH THANH HÓA</w:t>
            </w:r>
          </w:p>
          <w:p>
            <w:pPr>
              <w:spacing w:after="0"/>
              <w:ind w:left="108"/>
              <w:jc w:val="center"/>
              <w:rPr>
                <w:sz w:val="26"/>
                <w:szCs w:val="26"/>
              </w:rPr>
            </w:pPr>
            <w:r>
              <w:rPr>
                <w:noProof/>
                <w:sz w:val="26"/>
                <w:szCs w:val="26"/>
              </w:rPr>
              <mc:AlternateContent>
                <mc:Choice Requires="wps">
                  <w:drawing>
                    <wp:anchor distT="0" distB="0" distL="114300" distR="114300" simplePos="0" relativeHeight="251681792" behindDoc="0" locked="0" layoutInCell="1" allowOverlap="1">
                      <wp:simplePos x="0" y="0"/>
                      <wp:positionH relativeFrom="column">
                        <wp:posOffset>1044470</wp:posOffset>
                      </wp:positionH>
                      <wp:positionV relativeFrom="paragraph">
                        <wp:posOffset>4445</wp:posOffset>
                      </wp:positionV>
                      <wp:extent cx="673100" cy="0"/>
                      <wp:effectExtent l="0" t="0" r="12700" b="19050"/>
                      <wp:wrapNone/>
                      <wp:docPr id="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Straight Connector 9"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25pt,.35pt" to="135.2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ulHAIAADU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"/>
                  </w:pict>
                </mc:Fallback>
              </mc:AlternateContent>
            </w:r>
          </w:p>
          <w:p>
            <w:pPr>
              <w:spacing w:after="0"/>
              <w:ind w:left="108"/>
              <w:jc w:val="center"/>
              <w:rPr>
                <w:sz w:val="26"/>
                <w:szCs w:val="26"/>
              </w:rPr>
            </w:pPr>
          </w:p>
        </w:tc>
        <w:tc>
          <w:tcPr>
            <w:tcW w:w="5962" w:type="dxa"/>
          </w:tcPr>
          <w:p>
            <w:pPr>
              <w:keepNext/>
              <w:spacing w:after="0"/>
              <w:jc w:val="center"/>
              <w:outlineLvl w:val="0"/>
              <w:rPr>
                <w:b/>
                <w:bCs/>
                <w:spacing w:val="-4"/>
                <w:sz w:val="26"/>
                <w:szCs w:val="26"/>
              </w:rPr>
            </w:pPr>
            <w:r>
              <w:rPr>
                <w:b/>
                <w:bCs/>
                <w:spacing w:val="-4"/>
                <w:sz w:val="26"/>
                <w:szCs w:val="26"/>
              </w:rPr>
              <w:t>CỘNG HOÀ XÃ HỘI CHỦ NGHĨA VIỆT NAM</w:t>
            </w:r>
          </w:p>
          <w:p>
            <w:pPr>
              <w:spacing w:after="0"/>
              <w:jc w:val="center"/>
              <w:rPr>
                <w:b/>
                <w:bCs/>
                <w:szCs w:val="28"/>
              </w:rPr>
            </w:pPr>
            <w:r>
              <w:rPr>
                <w:b/>
                <w:bCs/>
                <w:szCs w:val="28"/>
              </w:rPr>
              <w:t>Độc lập - Tự do - Hạnh phúc</w:t>
            </w:r>
          </w:p>
          <w:p>
            <w:pPr>
              <w:spacing w:after="0"/>
              <w:jc w:val="center"/>
              <w:rPr>
                <w:b/>
                <w:bCs/>
                <w:sz w:val="26"/>
                <w:szCs w:val="26"/>
              </w:rPr>
            </w:pPr>
            <w:r>
              <w:rPr>
                <w:b/>
                <w:bCs/>
                <w:noProof/>
                <w:sz w:val="26"/>
                <w:szCs w:val="26"/>
              </w:rPr>
              <mc:AlternateContent>
                <mc:Choice Requires="wps">
                  <w:drawing>
                    <wp:anchor distT="0" distB="0" distL="114300" distR="114300" simplePos="0" relativeHeight="251680768" behindDoc="0" locked="0" layoutInCell="1" allowOverlap="1">
                      <wp:simplePos x="0" y="0"/>
                      <wp:positionH relativeFrom="column">
                        <wp:posOffset>740305</wp:posOffset>
                      </wp:positionH>
                      <wp:positionV relativeFrom="paragraph">
                        <wp:posOffset>3810</wp:posOffset>
                      </wp:positionV>
                      <wp:extent cx="2182219" cy="0"/>
                      <wp:effectExtent l="0" t="0" r="27940" b="19050"/>
                      <wp:wrapNone/>
                      <wp:docPr id="4"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22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Straight Connector 8"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pt,.3pt" to="230.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"/>
                  </w:pict>
                </mc:Fallback>
              </mc:AlternateContent>
            </w:r>
          </w:p>
          <w:p>
            <w:pPr>
              <w:spacing w:after="0"/>
              <w:jc w:val="center"/>
              <w:rPr>
                <w:i/>
                <w:sz w:val="34"/>
                <w:szCs w:val="26"/>
              </w:rPr>
            </w:pPr>
          </w:p>
        </w:tc>
      </w:tr>
    </w:tbl>
    <w:p>
      <w:pPr>
        <w:jc w:val="center"/>
        <w:rPr>
          <w:b/>
          <w:sz w:val="34"/>
        </w:rPr>
      </w:pPr>
      <w:r>
        <w:rPr>
          <w:b/>
          <w:sz w:val="34"/>
        </w:rPr>
        <w:t>QUY ĐỊNH</w:t>
      </w:r>
    </w:p>
    <w:p>
      <w:pPr>
        <w:spacing w:after="0" w:line="340" w:lineRule="exact"/>
        <w:ind w:left="-140" w:right="-168"/>
        <w:jc w:val="center"/>
        <w:rPr>
          <w:rFonts w:eastAsia="Calibri"/>
          <w:b/>
          <w:szCs w:val="28"/>
        </w:rPr>
      </w:pPr>
      <w:r>
        <w:rPr>
          <w:rFonts w:eastAsia="Calibri" w:cs="Times New Roman"/>
          <w:b/>
          <w:szCs w:val="28"/>
        </w:rPr>
        <w:t xml:space="preserve">Nguyên tắc, tiêu chí, định mức phân bổ vốn ngân sách trung ương và tỷ lệ vốn đối ứng của ngân sách địa phương </w:t>
      </w:r>
      <w:r>
        <w:rPr>
          <w:rFonts w:eastAsia="Calibri"/>
          <w:b/>
          <w:szCs w:val="28"/>
        </w:rPr>
        <w:t xml:space="preserve">thực hiện Chương trình mục tiêu quốc gia xây dựng nông thôn mới, giảm nghèo bền vững và phát triển kinh tế -  xã hội vùng đồng bào dân tộc thiểu số và miền núi trên địa bàn tỉnh Thanh Hoá, </w:t>
      </w:r>
    </w:p>
    <w:p>
      <w:pPr>
        <w:spacing w:after="0" w:line="340" w:lineRule="exact"/>
        <w:ind w:left="-140" w:right="-168"/>
        <w:jc w:val="center"/>
        <w:rPr>
          <w:rFonts w:eastAsia="Calibri"/>
          <w:b/>
          <w:szCs w:val="28"/>
        </w:rPr>
      </w:pPr>
      <w:r>
        <w:rPr>
          <w:rFonts w:eastAsia="Calibri"/>
          <w:b/>
          <w:szCs w:val="28"/>
        </w:rPr>
        <w:t>giai đoạn 2026-2030</w:t>
      </w:r>
    </w:p>
    <w:p>
      <w:pPr>
        <w:spacing w:after="0" w:line="340" w:lineRule="exact"/>
        <w:ind w:left="-140" w:right="-168"/>
        <w:jc w:val="center"/>
        <w:rPr>
          <w:i/>
        </w:rPr>
      </w:pPr>
      <w:r>
        <w:rPr>
          <w:i/>
        </w:rPr>
        <w:t xml:space="preserve">(Kèm theo Nghị quyết số        /2026/NQ-HĐND ngày       tháng     năm 2026 của </w:t>
      </w:r>
    </w:p>
    <w:p>
      <w:pPr>
        <w:spacing w:after="0" w:line="340" w:lineRule="exact"/>
        <w:ind w:left="-140" w:right="-168"/>
        <w:jc w:val="center"/>
        <w:rPr>
          <w:i/>
        </w:rPr>
      </w:pPr>
      <w:r>
        <w:rPr>
          <w:i/>
        </w:rPr>
        <w:t>Hội đồng nhân dân tỉnh)</w:t>
      </w:r>
    </w:p>
    <w:p>
      <w:pPr>
        <w:spacing w:before="120" w:after="120" w:line="360" w:lineRule="atLeast"/>
        <w:ind w:firstLine="567"/>
        <w:jc w:val="center"/>
        <w:rPr>
          <w:rFonts w:eastAsia="Times New Roman" w:cs="Times New Roman"/>
          <w:b/>
          <w:bCs/>
          <w:szCs w:val="28"/>
        </w:rPr>
      </w:pPr>
    </w:p>
    <w:p>
      <w:pPr>
        <w:spacing w:before="120" w:after="120" w:line="360" w:lineRule="atLeast"/>
        <w:jc w:val="center"/>
        <w:rPr>
          <w:rFonts w:eastAsia="Times New Roman" w:cs="Times New Roman"/>
          <w:b/>
          <w:bCs/>
          <w:szCs w:val="28"/>
        </w:rPr>
      </w:pPr>
      <w:r>
        <w:rPr>
          <w:rFonts w:eastAsia="Times New Roman" w:cs="Times New Roman"/>
          <w:b/>
          <w:bCs/>
          <w:szCs w:val="28"/>
        </w:rPr>
        <w:t>Chương I</w:t>
      </w:r>
    </w:p>
    <w:p>
      <w:pPr>
        <w:spacing w:before="120" w:after="120" w:line="360" w:lineRule="atLeast"/>
        <w:jc w:val="center"/>
        <w:rPr>
          <w:rFonts w:eastAsia="Times New Roman" w:cs="Times New Roman"/>
          <w:b/>
          <w:bCs/>
          <w:szCs w:val="28"/>
        </w:rPr>
      </w:pPr>
      <w:r>
        <w:rPr>
          <w:rFonts w:eastAsia="Times New Roman" w:cs="Times New Roman"/>
          <w:b/>
          <w:bCs/>
          <w:szCs w:val="28"/>
        </w:rPr>
        <w:t>NHỮNG QUY ĐỊNH CHUNG</w:t>
      </w:r>
    </w:p>
    <w:p>
      <w:pPr>
        <w:spacing w:before="120" w:after="120" w:line="360" w:lineRule="atLeast"/>
        <w:ind w:firstLine="567"/>
        <w:jc w:val="both"/>
        <w:rPr>
          <w:rFonts w:eastAsia="Times New Roman" w:cs="Times New Roman"/>
          <w:b/>
          <w:bCs/>
          <w:szCs w:val="28"/>
        </w:rPr>
      </w:pPr>
    </w:p>
    <w:p>
      <w:pPr>
        <w:spacing w:before="120" w:after="120" w:line="276" w:lineRule="auto"/>
        <w:ind w:firstLine="567"/>
        <w:jc w:val="both"/>
        <w:rPr>
          <w:rFonts w:eastAsia="Times New Roman" w:cs="Times New Roman"/>
          <w:b/>
          <w:szCs w:val="28"/>
        </w:rPr>
      </w:pPr>
      <w:r>
        <w:rPr>
          <w:rFonts w:eastAsia="Times New Roman" w:cs="Times New Roman"/>
          <w:b/>
          <w:bCs/>
          <w:szCs w:val="28"/>
        </w:rPr>
        <w:t>Điều 1.</w:t>
      </w:r>
      <w:r>
        <w:rPr>
          <w:rFonts w:eastAsia="Times New Roman" w:cs="Times New Roman"/>
          <w:bCs/>
          <w:szCs w:val="28"/>
        </w:rPr>
        <w:t xml:space="preserve"> </w:t>
      </w:r>
      <w:r>
        <w:rPr>
          <w:rFonts w:eastAsia="Times New Roman" w:cs="Times New Roman"/>
          <w:b/>
          <w:szCs w:val="28"/>
        </w:rPr>
        <w:t>Phạm vi điều chỉnh và đối tượng áp dụng</w:t>
      </w:r>
    </w:p>
    <w:p>
      <w:pPr>
        <w:spacing w:before="120" w:after="120" w:line="276" w:lineRule="auto"/>
        <w:ind w:firstLine="567"/>
        <w:jc w:val="both"/>
        <w:rPr>
          <w:rFonts w:eastAsia="Calibri" w:cs="Times New Roman"/>
          <w:szCs w:val="28"/>
        </w:rPr>
      </w:pPr>
      <w:r>
        <w:rPr>
          <w:rFonts w:eastAsia="Calibri" w:cs="Times New Roman"/>
          <w:szCs w:val="28"/>
        </w:rPr>
        <w:t>1. Phạm vi điều chỉnh</w:t>
      </w:r>
    </w:p>
    <w:p>
      <w:pPr>
        <w:spacing w:before="120" w:after="120" w:line="276" w:lineRule="auto"/>
        <w:ind w:firstLine="567"/>
        <w:jc w:val="both"/>
        <w:rPr>
          <w:rFonts w:eastAsia="Calibri" w:cs="Times New Roman"/>
          <w:szCs w:val="28"/>
        </w:rPr>
      </w:pPr>
      <w:r>
        <w:rPr>
          <w:rFonts w:eastAsia="Calibri" w:cs="Times New Roman"/>
          <w:szCs w:val="28"/>
        </w:rPr>
        <w:t>Quy định nguyên tắc, tiêu chí, định mức phân bổ vốn ngân sách trung ương và tỷ lệ vốn đối ứng của ngân sách địa phương (tỉnh, xã) thực hiện Chương trình mục tiêu quốc gia xây dựng nông thôn mới, giảm nghèo bền vững và phát triển kinh tế - xã hội vùng đồng bào dân tộc thiểu số và miền núi giai đoạn 2026 - 2030 (</w:t>
      </w:r>
      <w:r>
        <w:rPr>
          <w:rFonts w:eastAsia="Calibri" w:cs="Times New Roman"/>
          <w:i/>
          <w:szCs w:val="28"/>
        </w:rPr>
        <w:t>sau đây gọi tắt là Chương trình</w:t>
      </w:r>
      <w:r>
        <w:rPr>
          <w:rFonts w:eastAsia="Calibri" w:cs="Times New Roman"/>
          <w:szCs w:val="28"/>
        </w:rPr>
        <w:t>).</w:t>
      </w:r>
    </w:p>
    <w:p>
      <w:pPr>
        <w:spacing w:before="120" w:after="120" w:line="276" w:lineRule="auto"/>
        <w:ind w:firstLine="567"/>
        <w:jc w:val="both"/>
        <w:rPr>
          <w:rFonts w:eastAsia="Times New Roman" w:cs="Times New Roman"/>
          <w:szCs w:val="28"/>
        </w:rPr>
      </w:pPr>
      <w:r>
        <w:rPr>
          <w:rFonts w:eastAsia="Times New Roman" w:cs="Times New Roman"/>
          <w:szCs w:val="28"/>
        </w:rPr>
        <w:t>2. Đối tượng áp dụng</w:t>
      </w:r>
    </w:p>
    <w:p>
      <w:pPr>
        <w:shd w:val="clear" w:color="auto" w:fill="FFFFFF"/>
        <w:spacing w:before="120" w:after="120" w:line="276" w:lineRule="auto"/>
        <w:ind w:firstLine="567"/>
        <w:jc w:val="both"/>
        <w:rPr>
          <w:rFonts w:eastAsia="Calibri" w:cs="Times New Roman"/>
          <w:szCs w:val="28"/>
        </w:rPr>
      </w:pPr>
      <w:r>
        <w:rPr>
          <w:rFonts w:eastAsia="Calibri" w:cs="Times New Roman"/>
          <w:szCs w:val="28"/>
        </w:rPr>
        <w:t>a) Các sở, ban, ngành cấp tỉnh; các xã, phường và đơn vị sử dụng vốn ngân sách nhà nước để thực hiện Chương trình.</w:t>
      </w:r>
    </w:p>
    <w:p>
      <w:pPr>
        <w:shd w:val="clear" w:color="auto" w:fill="FFFFFF"/>
        <w:spacing w:before="120" w:after="120" w:line="276" w:lineRule="auto"/>
        <w:ind w:firstLine="567"/>
        <w:jc w:val="both"/>
        <w:rPr>
          <w:rFonts w:eastAsia="Calibri" w:cs="Times New Roman"/>
          <w:szCs w:val="28"/>
        </w:rPr>
      </w:pPr>
      <w:r>
        <w:rPr>
          <w:rFonts w:eastAsia="Calibri" w:cs="Times New Roman"/>
          <w:szCs w:val="28"/>
        </w:rPr>
        <w:t>b) Cơ quan, tổ chức, cá nhân tham gia hoặc có liên quan đến lập, thực hiện kế hoạch đầu tư công trung hạn và hằng năm, dự toán ngân sách nhà nước hằng năm của Chương trình.</w:t>
      </w:r>
    </w:p>
    <w:p>
      <w:pPr>
        <w:shd w:val="clear" w:color="auto" w:fill="FFFFFF"/>
        <w:spacing w:before="120" w:after="120" w:line="276" w:lineRule="auto"/>
        <w:ind w:firstLine="567"/>
        <w:jc w:val="center"/>
        <w:rPr>
          <w:rFonts w:eastAsia="Calibri" w:cs="Times New Roman"/>
          <w:b/>
          <w:bCs/>
          <w:szCs w:val="28"/>
        </w:rPr>
      </w:pPr>
      <w:r>
        <w:rPr>
          <w:rFonts w:eastAsia="Calibri" w:cs="Times New Roman"/>
          <w:b/>
          <w:bCs/>
          <w:szCs w:val="28"/>
        </w:rPr>
        <w:t>Chương II</w:t>
      </w:r>
    </w:p>
    <w:p>
      <w:pPr>
        <w:shd w:val="clear" w:color="auto" w:fill="FFFFFF"/>
        <w:spacing w:before="120" w:after="120" w:line="276" w:lineRule="auto"/>
        <w:ind w:firstLine="567"/>
        <w:jc w:val="center"/>
        <w:rPr>
          <w:rFonts w:eastAsia="Calibri" w:cs="Times New Roman"/>
          <w:b/>
          <w:bCs/>
          <w:szCs w:val="28"/>
        </w:rPr>
      </w:pPr>
      <w:r>
        <w:rPr>
          <w:rFonts w:eastAsia="Calibri" w:cs="Times New Roman"/>
          <w:b/>
          <w:bCs/>
          <w:szCs w:val="28"/>
        </w:rPr>
        <w:t xml:space="preserve">QUY ĐỊNH </w:t>
      </w:r>
      <w:r>
        <w:rPr>
          <w:rFonts w:eastAsia="Times New Roman" w:cs="Times New Roman"/>
          <w:b/>
          <w:bCs/>
          <w:szCs w:val="28"/>
        </w:rPr>
        <w:t>NGUYÊN TẮC, TIÊU CHÍ, ĐỊNH MỨC PHÂN BỔ VỐN NGÂN SÁCH TRUNG ƯƠNG, GIAI ĐOẠN 2026-2030</w:t>
      </w:r>
    </w:p>
    <w:p>
      <w:pPr>
        <w:shd w:val="clear" w:color="auto" w:fill="FFFFFF"/>
        <w:spacing w:before="120" w:after="120" w:line="276" w:lineRule="auto"/>
        <w:ind w:firstLine="567"/>
        <w:jc w:val="both"/>
        <w:rPr>
          <w:rFonts w:eastAsia="Times New Roman" w:cs="Times New Roman"/>
          <w:b/>
          <w:bCs/>
          <w:szCs w:val="28"/>
        </w:rPr>
      </w:pPr>
      <w:r>
        <w:rPr>
          <w:rFonts w:eastAsia="Times New Roman" w:cs="Times New Roman"/>
          <w:b/>
          <w:szCs w:val="28"/>
        </w:rPr>
        <w:t xml:space="preserve">Điều 2. </w:t>
      </w:r>
      <w:bookmarkStart w:id="7" w:name="dieu_3"/>
      <w:r>
        <w:rPr>
          <w:rFonts w:eastAsia="Times New Roman" w:cs="Times New Roman"/>
          <w:b/>
          <w:bCs/>
          <w:szCs w:val="28"/>
        </w:rPr>
        <w:t xml:space="preserve">Nguyên tắc </w:t>
      </w:r>
      <w:bookmarkEnd w:id="7"/>
      <w:r>
        <w:rPr>
          <w:rFonts w:eastAsia="Times New Roman" w:cs="Times New Roman"/>
          <w:b/>
          <w:bCs/>
          <w:szCs w:val="28"/>
        </w:rPr>
        <w:t>phân bổ</w:t>
      </w:r>
    </w:p>
    <w:p>
      <w:pPr>
        <w:shd w:val="clear" w:color="auto" w:fill="FFFFFF"/>
        <w:spacing w:before="120" w:after="120" w:line="276" w:lineRule="auto"/>
        <w:ind w:firstLine="567"/>
        <w:jc w:val="both"/>
        <w:rPr>
          <w:rFonts w:eastAsia="Times New Roman" w:cs="Times New Roman"/>
          <w:szCs w:val="28"/>
        </w:rPr>
      </w:pPr>
      <w:r>
        <w:rPr>
          <w:rFonts w:eastAsia="Times New Roman" w:cs="Times New Roman"/>
          <w:szCs w:val="28"/>
        </w:rPr>
        <w:t xml:space="preserve">1. Việc phân bổ kế hoạch vốn ngân sách trung ương thực hiện Chương trình phải tuân thủ theo quy định của Luật Đầu tư công, Luật Ngân sách nhà nước, </w:t>
      </w:r>
      <w:r>
        <w:rPr>
          <w:rFonts w:eastAsia="Times New Roman" w:cs="Times New Roman"/>
          <w:szCs w:val="28"/>
        </w:rPr>
        <w:lastRenderedPageBreak/>
        <w:t>Quyết định số </w:t>
      </w:r>
      <w:hyperlink r:id="rId10" w:tgtFrame="_blank" w:tooltip="Quyết định 07/2022/QĐ-TTg" w:history="1">
        <w:r>
          <w:rPr>
            <w:rFonts w:eastAsia="Times New Roman" w:cs="Times New Roman"/>
          </w:rPr>
          <w:t>16/2026/QĐ-TTg</w:t>
        </w:r>
      </w:hyperlink>
      <w:r>
        <w:rPr>
          <w:rFonts w:eastAsia="Times New Roman" w:cs="Times New Roman"/>
          <w:szCs w:val="28"/>
        </w:rPr>
        <w:t> ngày 15/4/2026 của Thủ tướng Chính phủ quy định nguyên tắc, tiêu chí, định mức phân bổ vốn ngân sách trung ương và tỷ lệ vốn đối ứng của ngân sách địa phương thực hiện Chương trình mục tiêu quốc gia xây dựng nông thôn mới, giảm nghèo bền vững và phát triển kinh tế -  xã hội vùng đồng bào dân tộc thiểu số và miền núi trên địa bàn tỉnh Thanh Hoá, giai đoạn 2026-2030 và các văn bản pháp luật có liên quan.</w:t>
      </w:r>
    </w:p>
    <w:p>
      <w:pPr>
        <w:shd w:val="clear" w:color="auto" w:fill="FFFFFF"/>
        <w:spacing w:before="120" w:after="120" w:line="276" w:lineRule="auto"/>
        <w:ind w:firstLine="567"/>
        <w:jc w:val="both"/>
        <w:rPr>
          <w:rFonts w:eastAsia="Times New Roman" w:cs="Times New Roman"/>
          <w:szCs w:val="28"/>
        </w:rPr>
      </w:pPr>
      <w:r>
        <w:rPr>
          <w:rFonts w:eastAsia="Times New Roman" w:cs="Times New Roman"/>
          <w:szCs w:val="28"/>
        </w:rPr>
        <w:t xml:space="preserve">2. Đầu tư có trọng tâm, trọng điểm, hiệu quả, bền vững; tập trung ưu tiên phân bổ ngân sách trung ương ở mức cao nhất cho các xã, thôn đặc biệt khó khăn, vùng đồng bào dân tộc thiểu số và miền núi, an toàn khu, biên giới và hải đảo nhằm tạo chuyển biến rõ nét trong phát triển kinh tế - xã hội, xây dựng nông thôn mới, giảm nghèo bền vững. </w:t>
      </w:r>
    </w:p>
    <w:p>
      <w:pPr>
        <w:shd w:val="clear" w:color="auto" w:fill="FFFFFF"/>
        <w:spacing w:before="120" w:after="120" w:line="276" w:lineRule="auto"/>
        <w:ind w:firstLine="567"/>
        <w:jc w:val="both"/>
        <w:rPr>
          <w:rFonts w:eastAsia="Times New Roman" w:cs="Times New Roman"/>
          <w:szCs w:val="28"/>
        </w:rPr>
      </w:pPr>
      <w:r>
        <w:rPr>
          <w:rFonts w:eastAsia="Times New Roman" w:cs="Times New Roman"/>
          <w:szCs w:val="28"/>
        </w:rPr>
        <w:t>3. Bảo đảm quản lý thống nhất về mục tiêu, cơ chế, chính sách, tiêu chí và định mức phân bổ; không trùng lặp nội dung, đối tượng với các chương trình mục tiêu quốc gia, chương trình, dự án khác thực hiện trên cùng địa bàn.</w:t>
      </w:r>
    </w:p>
    <w:p>
      <w:pPr>
        <w:shd w:val="clear" w:color="auto" w:fill="FFFFFF"/>
        <w:spacing w:before="120" w:after="120" w:line="276" w:lineRule="auto"/>
        <w:ind w:firstLine="567"/>
        <w:jc w:val="both"/>
        <w:rPr>
          <w:rFonts w:eastAsia="Times New Roman" w:cs="Times New Roman"/>
          <w:szCs w:val="28"/>
        </w:rPr>
      </w:pPr>
      <w:r>
        <w:rPr>
          <w:rFonts w:eastAsia="Times New Roman" w:cs="Times New Roman"/>
          <w:szCs w:val="28"/>
        </w:rPr>
        <w:t>4. Đảm bảo công khai, minh bạch trong việc phân bổ vốn kế hoạch thực hiện Chương trình, góp phần đẩy mạnh cải cách hành chính và tăng cường công tác phòng chống tham nhũng, thực hành tiết kiệm, chống lãng phí.</w:t>
      </w:r>
    </w:p>
    <w:p>
      <w:pPr>
        <w:shd w:val="clear" w:color="auto" w:fill="FFFFFF"/>
        <w:spacing w:before="120" w:after="120" w:line="276" w:lineRule="auto"/>
        <w:ind w:firstLine="567"/>
        <w:jc w:val="both"/>
        <w:rPr>
          <w:rFonts w:eastAsia="Times New Roman"/>
          <w:szCs w:val="28"/>
        </w:rPr>
      </w:pPr>
      <w:r>
        <w:rPr>
          <w:rFonts w:eastAsia="Times New Roman" w:cs="Times New Roman"/>
          <w:szCs w:val="28"/>
        </w:rPr>
        <w:t xml:space="preserve">5. </w:t>
      </w:r>
      <w:r>
        <w:rPr>
          <w:rFonts w:eastAsia="Times New Roman"/>
          <w:szCs w:val="28"/>
        </w:rPr>
        <w:t>Đối với các nội dung đã quy định nội dung, định mức, kinh phí cụ thể và cơ quan chủ trì, thực hiện theo quy định của Trung ương, thì không áp dụng theo nguyên tắc, tiêu chí, định mức phân bổ quy định tại Nghị quyết này.</w:t>
      </w:r>
    </w:p>
    <w:p>
      <w:pPr>
        <w:shd w:val="clear" w:color="auto" w:fill="FFFFFF"/>
        <w:spacing w:before="120" w:after="120" w:line="276" w:lineRule="auto"/>
        <w:ind w:firstLine="567"/>
        <w:jc w:val="both"/>
        <w:rPr>
          <w:rFonts w:eastAsia="Times New Roman" w:cs="Times New Roman"/>
          <w:szCs w:val="28"/>
        </w:rPr>
      </w:pPr>
      <w:r>
        <w:rPr>
          <w:rFonts w:cs="Times New Roman"/>
          <w:szCs w:val="28"/>
        </w:rPr>
        <w:t>6. Trường hợp thay đổi địa giới hành chính hoặc thay đổi phân loại đơn vị hành chính trong giai đoạn 2026-2030 thì thực hiện theo quyết định của cấp có thẩm quyền.</w:t>
      </w:r>
    </w:p>
    <w:p>
      <w:pPr>
        <w:shd w:val="clear" w:color="auto" w:fill="FFFFFF"/>
        <w:spacing w:before="120" w:after="120" w:line="276" w:lineRule="auto"/>
        <w:ind w:firstLine="567"/>
        <w:jc w:val="both"/>
        <w:rPr>
          <w:rFonts w:eastAsia="Calibri" w:cs="Times New Roman"/>
          <w:b/>
          <w:bCs/>
          <w:spacing w:val="-8"/>
          <w:szCs w:val="28"/>
          <w:shd w:val="clear" w:color="auto" w:fill="FFFFFF"/>
        </w:rPr>
      </w:pPr>
      <w:bookmarkStart w:id="8" w:name="dieu_4"/>
      <w:r>
        <w:rPr>
          <w:rFonts w:eastAsia="Calibri" w:cs="Times New Roman"/>
          <w:b/>
          <w:bCs/>
          <w:spacing w:val="-8"/>
          <w:szCs w:val="28"/>
          <w:shd w:val="clear" w:color="auto" w:fill="FFFFFF"/>
        </w:rPr>
        <w:t xml:space="preserve">Điều 3. Tiêu chí, hệ số phân bổ </w:t>
      </w:r>
      <w:bookmarkEnd w:id="8"/>
    </w:p>
    <w:p>
      <w:pPr>
        <w:shd w:val="clear" w:color="auto" w:fill="FFFFFF"/>
        <w:spacing w:before="120" w:after="120" w:line="276" w:lineRule="auto"/>
        <w:ind w:firstLine="567"/>
        <w:jc w:val="both"/>
        <w:rPr>
          <w:rFonts w:eastAsia="Calibri" w:cs="Times New Roman"/>
          <w:szCs w:val="28"/>
          <w:shd w:val="clear" w:color="auto" w:fill="FFFFFF"/>
        </w:rPr>
      </w:pPr>
      <w:r>
        <w:rPr>
          <w:rFonts w:eastAsia="Calibri" w:cs="Times New Roman"/>
          <w:szCs w:val="28"/>
          <w:shd w:val="clear" w:color="auto" w:fill="FFFFFF"/>
        </w:rPr>
        <w:t>1. Tiêu chí, hệ số phân bổ theo đối tượng thôn, xã.</w:t>
      </w:r>
    </w:p>
    <w:p>
      <w:pPr>
        <w:shd w:val="clear" w:color="auto" w:fill="FFFFFF"/>
        <w:spacing w:before="120" w:after="120" w:line="276" w:lineRule="auto"/>
        <w:ind w:firstLine="567"/>
        <w:jc w:val="both"/>
        <w:rPr>
          <w:rFonts w:eastAsia="Calibri" w:cs="Times New Roman"/>
          <w:szCs w:val="28"/>
          <w:shd w:val="clear" w:color="auto" w:fill="FFFFFF"/>
        </w:rPr>
      </w:pPr>
      <w:r>
        <w:rPr>
          <w:rFonts w:eastAsia="Calibri" w:cs="Times New Roman"/>
          <w:szCs w:val="28"/>
          <w:shd w:val="clear" w:color="auto" w:fill="FFFFFF"/>
        </w:rPr>
        <w:t>Tiêu chí phân bổ vốn ngân sách trung ương cho các địa phương theo khoản này được xác định căn cứ số thôn đặc biệt khó khăn vùng đồng bào dân tộc thiểu số và miền núi (sau đây viết tắt là DTTS&amp;MN) và loại xã (bao gồm: xã khu vực I, II, III vùng đồng bào DTTS&amp;MN, xã An toàn khu (sau đây viết tắt là ATK), xã biên giới, xã đảo, đặc khu và các xã còn lại) của địa phương được cấp có thẩm quyền phê duyệt, công bố theo từng thời kỳ</w:t>
      </w:r>
      <w:r>
        <w:rPr>
          <w:rStyle w:val="FootnoteReference"/>
          <w:rFonts w:eastAsia="Calibri" w:cs="Times New Roman"/>
          <w:szCs w:val="28"/>
          <w:shd w:val="clear" w:color="auto" w:fill="FFFFFF"/>
        </w:rPr>
        <w:footnoteReference w:id="1"/>
      </w:r>
      <w:r>
        <w:rPr>
          <w:rFonts w:eastAsia="Calibri" w:cs="Times New Roman"/>
          <w:szCs w:val="28"/>
          <w:shd w:val="clear" w:color="auto" w:fill="FFFFFF"/>
        </w:rPr>
        <w:t xml:space="preserve">. Mức phân bổ vốn của từng xã theo tiêu chí này được xác định bằng hệ số phân bổ quy định tại khoản này cộng với </w:t>
      </w:r>
      <w:r>
        <w:rPr>
          <w:rFonts w:eastAsia="Calibri" w:cs="Times New Roman"/>
          <w:szCs w:val="28"/>
          <w:shd w:val="clear" w:color="auto" w:fill="FFFFFF"/>
        </w:rPr>
        <w:lastRenderedPageBreak/>
        <w:t>số lượng thôn đặc biệt khó khăn tương ứng của địa phương, cụ thể như sau,</w:t>
      </w:r>
      <w:r>
        <w:rPr>
          <w:rFonts w:eastAsia="Calibri" w:cs="Times New Roman"/>
        </w:rPr>
        <w:t xml:space="preserve"> với hệ số như sau:</w:t>
      </w:r>
    </w:p>
    <w:p>
      <w:pPr>
        <w:shd w:val="clear" w:color="auto" w:fill="FFFFFF"/>
        <w:spacing w:before="120" w:after="120" w:line="276" w:lineRule="auto"/>
        <w:ind w:firstLine="567"/>
        <w:jc w:val="both"/>
        <w:rPr>
          <w:rFonts w:eastAsia="Calibri" w:cs="Times New Roman"/>
          <w:szCs w:val="28"/>
          <w:shd w:val="clear" w:color="auto" w:fill="FFFFFF"/>
        </w:rPr>
      </w:pPr>
      <w:r>
        <w:rPr>
          <w:rFonts w:eastAsia="Calibri" w:cs="Times New Roman"/>
          <w:szCs w:val="28"/>
          <w:shd w:val="clear" w:color="auto" w:fill="FFFFFF"/>
        </w:rPr>
        <w:t>a) Thôn đặc biệt khó khăn vùng đồng bào DTTS&amp;MN: Hệ số 1,0;</w:t>
      </w:r>
    </w:p>
    <w:p>
      <w:pPr>
        <w:shd w:val="clear" w:color="auto" w:fill="FFFFFF"/>
        <w:spacing w:before="120" w:after="120" w:line="276" w:lineRule="auto"/>
        <w:ind w:firstLine="567"/>
        <w:jc w:val="both"/>
        <w:rPr>
          <w:rFonts w:eastAsia="Calibri" w:cs="Times New Roman"/>
          <w:szCs w:val="28"/>
          <w:shd w:val="clear" w:color="auto" w:fill="FFFFFF"/>
        </w:rPr>
      </w:pPr>
      <w:r>
        <w:rPr>
          <w:rFonts w:eastAsia="Calibri" w:cs="Times New Roman"/>
          <w:szCs w:val="28"/>
          <w:shd w:val="clear" w:color="auto" w:fill="FFFFFF"/>
        </w:rPr>
        <w:t>b) Xã khu vực III vùng đồng bào DTTS&amp;MN, xã an toàn khu, xã biên giới: Hệ số 50,0;</w:t>
      </w:r>
    </w:p>
    <w:p>
      <w:pPr>
        <w:shd w:val="clear" w:color="auto" w:fill="FFFFFF"/>
        <w:spacing w:before="120" w:after="120" w:line="276" w:lineRule="auto"/>
        <w:ind w:firstLine="567"/>
        <w:jc w:val="both"/>
        <w:rPr>
          <w:rFonts w:eastAsia="Calibri" w:cs="Times New Roman"/>
          <w:szCs w:val="28"/>
          <w:shd w:val="clear" w:color="auto" w:fill="FFFFFF"/>
        </w:rPr>
      </w:pPr>
      <w:r>
        <w:rPr>
          <w:rFonts w:eastAsia="Calibri" w:cs="Times New Roman"/>
          <w:szCs w:val="28"/>
          <w:shd w:val="clear" w:color="auto" w:fill="FFFFFF"/>
        </w:rPr>
        <w:t>c) Xã khu vực II vùng đồng bào DTTS&amp;MN: Hệ số 40,0;</w:t>
      </w:r>
    </w:p>
    <w:p>
      <w:pPr>
        <w:shd w:val="clear" w:color="auto" w:fill="FFFFFF"/>
        <w:spacing w:before="120" w:after="120" w:line="276" w:lineRule="auto"/>
        <w:ind w:firstLine="567"/>
        <w:jc w:val="both"/>
        <w:rPr>
          <w:rFonts w:eastAsia="Calibri" w:cs="Times New Roman"/>
          <w:szCs w:val="28"/>
          <w:shd w:val="clear" w:color="auto" w:fill="FFFFFF"/>
        </w:rPr>
      </w:pPr>
      <w:r>
        <w:rPr>
          <w:rFonts w:eastAsia="Calibri" w:cs="Times New Roman"/>
          <w:szCs w:val="28"/>
          <w:shd w:val="clear" w:color="auto" w:fill="FFFFFF"/>
        </w:rPr>
        <w:t>d) Xã khu vực I vùng đồng bào DTTS&amp;MN: Hệ số 30,0;</w:t>
      </w:r>
    </w:p>
    <w:p>
      <w:pPr>
        <w:shd w:val="clear" w:color="auto" w:fill="FFFFFF"/>
        <w:spacing w:before="120" w:after="120" w:line="276" w:lineRule="auto"/>
        <w:ind w:firstLine="567"/>
        <w:jc w:val="both"/>
        <w:rPr>
          <w:rFonts w:eastAsia="Calibri" w:cs="Times New Roman"/>
          <w:szCs w:val="28"/>
          <w:shd w:val="clear" w:color="auto" w:fill="FFFFFF"/>
        </w:rPr>
      </w:pPr>
      <w:r>
        <w:rPr>
          <w:rFonts w:eastAsia="Calibri" w:cs="Times New Roman"/>
          <w:szCs w:val="28"/>
          <w:shd w:val="clear" w:color="auto" w:fill="FFFFFF"/>
        </w:rPr>
        <w:t>đ) Xã còn lại: Hệ số 25,0.</w:t>
      </w:r>
    </w:p>
    <w:p>
      <w:pPr>
        <w:shd w:val="clear" w:color="auto" w:fill="FFFFFF"/>
        <w:spacing w:before="120" w:after="120" w:line="276" w:lineRule="auto"/>
        <w:ind w:firstLine="567"/>
        <w:jc w:val="both"/>
        <w:rPr>
          <w:rFonts w:eastAsia="Calibri" w:cs="Times New Roman"/>
          <w:szCs w:val="28"/>
          <w:shd w:val="clear" w:color="auto" w:fill="FFFFFF"/>
        </w:rPr>
      </w:pPr>
      <w:r>
        <w:rPr>
          <w:rFonts w:eastAsia="Calibri" w:cs="Times New Roman"/>
          <w:szCs w:val="28"/>
          <w:shd w:val="clear" w:color="auto" w:fill="FFFFFF"/>
        </w:rPr>
        <w:t>Trường hợp một xã đồng thời thuộc từ hai (02) đối tượng trở lên quy định tại các điểm b, c, d và đ khoản này thì chỉ áp dụng một (01) hệ số phân bổ cao nhất tương ứng với một trong các đối tượng đó; không áp dụng cộng gộp, nhân hoặc tính trùng nhiều hệ số đối với cùng một xã.</w:t>
      </w:r>
    </w:p>
    <w:p>
      <w:pPr>
        <w:shd w:val="clear" w:color="auto" w:fill="FFFFFF"/>
        <w:spacing w:before="120" w:after="120" w:line="276" w:lineRule="auto"/>
        <w:ind w:firstLine="567"/>
        <w:jc w:val="both"/>
        <w:rPr>
          <w:bCs/>
          <w:szCs w:val="28"/>
        </w:rPr>
      </w:pPr>
      <w:r>
        <w:rPr>
          <w:bCs/>
          <w:szCs w:val="28"/>
        </w:rPr>
        <w:t>2. Tiêu chí phân bổ vốn cho các sở, ban, ngành, đơn vị cấp tỉnh</w:t>
      </w:r>
    </w:p>
    <w:p>
      <w:pPr>
        <w:shd w:val="clear" w:color="auto" w:fill="FFFFFF"/>
        <w:spacing w:before="120" w:after="120" w:line="276" w:lineRule="auto"/>
        <w:ind w:firstLine="567"/>
        <w:jc w:val="both"/>
        <w:rPr>
          <w:rFonts w:eastAsia="Calibri" w:cs="Times New Roman"/>
          <w:szCs w:val="28"/>
          <w:shd w:val="clear" w:color="auto" w:fill="FFFFFF"/>
        </w:rPr>
      </w:pPr>
      <w:r>
        <w:rPr>
          <w:rFonts w:eastAsia="Calibri" w:cs="Times New Roman"/>
          <w:szCs w:val="28"/>
          <w:shd w:val="clear" w:color="auto" w:fill="FFFFFF"/>
        </w:rPr>
        <w:t>Vốn ngân sách trung ương bố trí cho sở, ban, ngành, cơ quan, đơn vị cấp tỉnh để thực hiện hiện Chương trình được xác định căn cứ các tiêu chí sau:</w:t>
      </w:r>
    </w:p>
    <w:p>
      <w:pPr>
        <w:shd w:val="clear" w:color="auto" w:fill="FFFFFF"/>
        <w:spacing w:before="120" w:after="120" w:line="276" w:lineRule="auto"/>
        <w:ind w:firstLine="567"/>
        <w:jc w:val="both"/>
        <w:rPr>
          <w:rFonts w:eastAsia="Calibri" w:cs="Times New Roman"/>
          <w:szCs w:val="28"/>
          <w:shd w:val="clear" w:color="auto" w:fill="FFFFFF"/>
        </w:rPr>
      </w:pPr>
      <w:r>
        <w:rPr>
          <w:rFonts w:eastAsia="Calibri" w:cs="Times New Roman"/>
          <w:szCs w:val="28"/>
          <w:shd w:val="clear" w:color="auto" w:fill="FFFFFF"/>
        </w:rPr>
        <w:t>a) Nhiệm vụ của Chương trình do sở, ban, ngành, cơ quan, đơn vị cấp tỉnh được giao chủ trì thực hiện theo quyết định của cấp có thẩm quyền phê duyệt;</w:t>
      </w:r>
    </w:p>
    <w:p>
      <w:pPr>
        <w:shd w:val="clear" w:color="auto" w:fill="FFFFFF"/>
        <w:spacing w:before="120" w:after="120" w:line="276" w:lineRule="auto"/>
        <w:ind w:firstLine="567"/>
        <w:jc w:val="both"/>
        <w:rPr>
          <w:rFonts w:eastAsia="Calibri" w:cs="Times New Roman"/>
          <w:szCs w:val="28"/>
          <w:shd w:val="clear" w:color="auto" w:fill="FFFFFF"/>
        </w:rPr>
      </w:pPr>
      <w:r>
        <w:rPr>
          <w:rFonts w:eastAsia="Calibri" w:cs="Times New Roman"/>
          <w:szCs w:val="28"/>
          <w:shd w:val="clear" w:color="auto" w:fill="FFFFFF"/>
        </w:rPr>
        <w:t>b) Khối lượng nhiệm vụ, tiến độ thực hiện và nhu cầu vốn để thực hiện nhiệm vụ của Chương trình và dự toán ngân sách trung ương hằng năm được cấp có thẩm quyền phê duyệt hoặc được bổ sung, điều chỉnh theo quy định của pháp luật;</w:t>
      </w:r>
    </w:p>
    <w:p>
      <w:pPr>
        <w:shd w:val="clear" w:color="auto" w:fill="FFFFFF"/>
        <w:spacing w:before="120" w:after="120" w:line="276" w:lineRule="auto"/>
        <w:ind w:firstLine="567"/>
        <w:jc w:val="both"/>
        <w:rPr>
          <w:rFonts w:eastAsia="Calibri" w:cs="Times New Roman"/>
          <w:szCs w:val="28"/>
          <w:shd w:val="clear" w:color="auto" w:fill="FFFFFF"/>
        </w:rPr>
      </w:pPr>
      <w:r>
        <w:rPr>
          <w:rFonts w:eastAsia="Calibri" w:cs="Times New Roman"/>
          <w:szCs w:val="28"/>
          <w:shd w:val="clear" w:color="auto" w:fill="FFFFFF"/>
        </w:rPr>
        <w:t>c) Nội dung, tính chất và phạm vi của nhiệm vụ phù hợp với chức năng nhiệm vụ, khả năng thực hiện của sở, ban, ngành, cơ quan, đơn vị cấp tỉnh; bảo đảm không trùng lặp về nội dung chi và đối tượng thụ hưởng với nhiệm vụ đã phân cấp cho địa phương, nhiệm vụ thuộc các chương trình mục tiêu quốc gia, các chương trình, dự án khác hoặc nhiệm vụ chi khác đã được bố trí kinh phí trong dự toán ngân sách nhà nước hằng năm của sở, ban, ngành, cơ quan, đơn vị cấp tỉnh;</w:t>
      </w:r>
    </w:p>
    <w:p>
      <w:pPr>
        <w:shd w:val="clear" w:color="auto" w:fill="FFFFFF"/>
        <w:spacing w:before="120" w:after="120" w:line="276" w:lineRule="auto"/>
        <w:ind w:firstLine="567"/>
        <w:jc w:val="both"/>
        <w:rPr>
          <w:rFonts w:eastAsia="Calibri" w:cs="Times New Roman"/>
          <w:szCs w:val="28"/>
          <w:shd w:val="clear" w:color="auto" w:fill="FFFFFF"/>
        </w:rPr>
      </w:pPr>
      <w:r>
        <w:rPr>
          <w:rFonts w:eastAsia="Calibri" w:cs="Times New Roman"/>
          <w:szCs w:val="28"/>
          <w:shd w:val="clear" w:color="auto" w:fill="FFFFFF"/>
        </w:rPr>
        <w:t>d) Kết quả thực hiện nhiệm vụ và kết quả giải ngân vốn của sở, ban, ngành, cơ quan, đơn vị cấp tỉnh trong giai đoạn 2021 - 2025 hoặc các năm trước liền kề.</w:t>
      </w:r>
    </w:p>
    <w:p>
      <w:pPr>
        <w:shd w:val="clear" w:color="auto" w:fill="FFFFFF"/>
        <w:spacing w:before="120" w:after="120" w:line="276" w:lineRule="auto"/>
        <w:ind w:firstLine="567"/>
        <w:jc w:val="both"/>
        <w:rPr>
          <w:rFonts w:eastAsia="Calibri" w:cs="Times New Roman"/>
          <w:szCs w:val="28"/>
          <w:shd w:val="clear" w:color="auto" w:fill="FFFFFF"/>
        </w:rPr>
      </w:pPr>
      <w:r>
        <w:rPr>
          <w:rFonts w:eastAsia="Calibri" w:cs="Times New Roman"/>
          <w:szCs w:val="28"/>
          <w:shd w:val="clear" w:color="auto" w:fill="FFFFFF"/>
        </w:rPr>
        <w:t xml:space="preserve">3. Phương pháp xác định mức phân bổ vốn ngân sách trung ương cho các địa phương: Theo quy định tại Khoản 3 Điều 4 </w:t>
      </w:r>
      <w:r>
        <w:rPr>
          <w:bCs/>
          <w:szCs w:val="28"/>
          <w:lang w:val="vi-VN"/>
        </w:rPr>
        <w:t>Quyết định số </w:t>
      </w:r>
      <w:hyperlink r:id="rId11" w:tgtFrame="_blank" w:tooltip="Quyết định 07/2022/QĐ-TTg" w:history="1">
        <w:r>
          <w:rPr>
            <w:rStyle w:val="Hyperlink"/>
            <w:bCs/>
            <w:color w:val="auto"/>
            <w:szCs w:val="28"/>
            <w:u w:val="none"/>
          </w:rPr>
          <w:t>16</w:t>
        </w:r>
        <w:r>
          <w:rPr>
            <w:rStyle w:val="Hyperlink"/>
            <w:bCs/>
            <w:color w:val="auto"/>
            <w:szCs w:val="28"/>
            <w:u w:val="none"/>
            <w:lang w:val="vi-VN"/>
          </w:rPr>
          <w:t>/202</w:t>
        </w:r>
        <w:r>
          <w:rPr>
            <w:rStyle w:val="Hyperlink"/>
            <w:bCs/>
            <w:color w:val="auto"/>
            <w:szCs w:val="28"/>
            <w:u w:val="none"/>
          </w:rPr>
          <w:t>6</w:t>
        </w:r>
        <w:r>
          <w:rPr>
            <w:rStyle w:val="Hyperlink"/>
            <w:bCs/>
            <w:color w:val="auto"/>
            <w:szCs w:val="28"/>
            <w:u w:val="none"/>
            <w:lang w:val="vi-VN"/>
          </w:rPr>
          <w:t>/QĐ-TTg</w:t>
        </w:r>
      </w:hyperlink>
      <w:r>
        <w:rPr>
          <w:bCs/>
          <w:szCs w:val="28"/>
          <w:lang w:val="vi-VN"/>
        </w:rPr>
        <w:t> ngày</w:t>
      </w:r>
      <w:r>
        <w:rPr>
          <w:bCs/>
          <w:szCs w:val="28"/>
        </w:rPr>
        <w:t xml:space="preserve"> 15 </w:t>
      </w:r>
      <w:r>
        <w:rPr>
          <w:bCs/>
          <w:szCs w:val="28"/>
          <w:lang w:val="vi-VN"/>
        </w:rPr>
        <w:t xml:space="preserve">tháng </w:t>
      </w:r>
      <w:r>
        <w:rPr>
          <w:bCs/>
          <w:szCs w:val="28"/>
        </w:rPr>
        <w:t>4</w:t>
      </w:r>
      <w:r>
        <w:rPr>
          <w:bCs/>
          <w:szCs w:val="28"/>
          <w:lang w:val="vi-VN"/>
        </w:rPr>
        <w:t xml:space="preserve"> năm 202</w:t>
      </w:r>
      <w:r>
        <w:rPr>
          <w:bCs/>
          <w:szCs w:val="28"/>
        </w:rPr>
        <w:t>6</w:t>
      </w:r>
      <w:r>
        <w:rPr>
          <w:bCs/>
          <w:szCs w:val="28"/>
          <w:lang w:val="vi-VN"/>
        </w:rPr>
        <w:t xml:space="preserve"> của Thủ tướng Chính phủ</w:t>
      </w:r>
      <w:r>
        <w:rPr>
          <w:bCs/>
          <w:szCs w:val="28"/>
        </w:rPr>
        <w:t>.</w:t>
      </w:r>
    </w:p>
    <w:p>
      <w:pPr>
        <w:shd w:val="clear" w:color="auto" w:fill="FFFFFF"/>
        <w:spacing w:before="120" w:after="120" w:line="276" w:lineRule="auto"/>
        <w:ind w:firstLine="567"/>
        <w:jc w:val="both"/>
        <w:rPr>
          <w:rFonts w:eastAsia="Calibri" w:cs="Times New Roman"/>
          <w:szCs w:val="28"/>
          <w:shd w:val="clear" w:color="auto" w:fill="FFFFFF"/>
        </w:rPr>
      </w:pPr>
      <w:r>
        <w:rPr>
          <w:rFonts w:eastAsia="Calibri" w:cs="Times New Roman"/>
          <w:szCs w:val="28"/>
          <w:shd w:val="clear" w:color="auto" w:fill="FFFFFF"/>
        </w:rPr>
        <w:t xml:space="preserve">4. Trên cơ sở các tiêu chí quy định tại khoản 1, khoản 2 Điều này, Sở Nông nghiệp và Môi trường chủ trì tổng hợp, đề xuất phương án phân bổ cụ thể kế hoạch đầu tư công và dự toán chi ngân sách trung ương để thực hiện Chương trình trung </w:t>
      </w:r>
      <w:r>
        <w:rPr>
          <w:rFonts w:eastAsia="Calibri" w:cs="Times New Roman"/>
          <w:szCs w:val="28"/>
          <w:shd w:val="clear" w:color="auto" w:fill="FFFFFF"/>
        </w:rPr>
        <w:lastRenderedPageBreak/>
        <w:t xml:space="preserve">hạn giai đoạn 2026 - 2030 và hằng năm chi tiết đến danh mục dự án, nội dung thành phần chi cho từng địa phương, đơn vị trên địa bàn tỉnh, trình cấp có thẩm quyền xem xét, quyết định theo quy định. </w:t>
      </w:r>
    </w:p>
    <w:p>
      <w:pPr>
        <w:shd w:val="clear" w:color="auto" w:fill="FFFFFF"/>
        <w:spacing w:before="120" w:after="120" w:line="276" w:lineRule="auto"/>
        <w:ind w:firstLine="567"/>
        <w:jc w:val="both"/>
        <w:rPr>
          <w:bCs/>
          <w:i/>
          <w:iCs/>
          <w:szCs w:val="28"/>
        </w:rPr>
      </w:pPr>
      <w:r>
        <w:rPr>
          <w:rFonts w:eastAsia="Calibri" w:cs="Times New Roman"/>
          <w:bCs/>
          <w:i/>
          <w:szCs w:val="28"/>
          <w:u w:val="single"/>
          <w:shd w:val="clear" w:color="auto" w:fill="FFFFFF"/>
        </w:rPr>
        <w:t>Cơ sở đề xuất:</w:t>
      </w:r>
      <w:r>
        <w:rPr>
          <w:rFonts w:eastAsia="Calibri" w:cs="Times New Roman"/>
          <w:b/>
          <w:i/>
          <w:szCs w:val="28"/>
          <w:shd w:val="clear" w:color="auto" w:fill="FFFFFF"/>
        </w:rPr>
        <w:t xml:space="preserve"> </w:t>
      </w:r>
      <w:r>
        <w:rPr>
          <w:rFonts w:eastAsia="Calibri" w:cs="Times New Roman"/>
          <w:bCs/>
          <w:i/>
          <w:szCs w:val="28"/>
          <w:shd w:val="clear" w:color="auto" w:fill="FFFFFF"/>
        </w:rPr>
        <w:t>Thực hiện</w:t>
      </w:r>
      <w:r>
        <w:rPr>
          <w:rFonts w:eastAsia="Calibri" w:cs="Times New Roman"/>
          <w:b/>
          <w:i/>
          <w:szCs w:val="28"/>
          <w:shd w:val="clear" w:color="auto" w:fill="FFFFFF"/>
        </w:rPr>
        <w:t xml:space="preserve"> </w:t>
      </w:r>
      <w:r>
        <w:rPr>
          <w:rFonts w:eastAsia="Calibri" w:cs="Times New Roman"/>
          <w:bCs/>
          <w:i/>
          <w:szCs w:val="28"/>
          <w:shd w:val="clear" w:color="auto" w:fill="FFFFFF"/>
        </w:rPr>
        <w:t xml:space="preserve">theo tiêu chí, hệ số phân bổ của Trung ương tại </w:t>
      </w:r>
      <w:r>
        <w:rPr>
          <w:bCs/>
          <w:i/>
          <w:iCs/>
          <w:szCs w:val="28"/>
          <w:lang w:val="vi-VN"/>
        </w:rPr>
        <w:t>Quyết định số </w:t>
      </w:r>
      <w:hyperlink r:id="rId12" w:tgtFrame="_blank" w:tooltip="Quyết định 07/2022/QĐ-TTg" w:history="1">
        <w:r>
          <w:rPr>
            <w:rStyle w:val="Hyperlink"/>
            <w:bCs/>
            <w:i/>
            <w:iCs/>
            <w:color w:val="auto"/>
            <w:szCs w:val="28"/>
            <w:u w:val="none"/>
          </w:rPr>
          <w:t>16</w:t>
        </w:r>
        <w:r>
          <w:rPr>
            <w:rStyle w:val="Hyperlink"/>
            <w:bCs/>
            <w:i/>
            <w:iCs/>
            <w:color w:val="auto"/>
            <w:szCs w:val="28"/>
            <w:u w:val="none"/>
            <w:lang w:val="vi-VN"/>
          </w:rPr>
          <w:t>/202</w:t>
        </w:r>
        <w:r>
          <w:rPr>
            <w:rStyle w:val="Hyperlink"/>
            <w:bCs/>
            <w:i/>
            <w:iCs/>
            <w:color w:val="auto"/>
            <w:szCs w:val="28"/>
            <w:u w:val="none"/>
          </w:rPr>
          <w:t>6</w:t>
        </w:r>
        <w:r>
          <w:rPr>
            <w:rStyle w:val="Hyperlink"/>
            <w:bCs/>
            <w:i/>
            <w:iCs/>
            <w:color w:val="auto"/>
            <w:szCs w:val="28"/>
            <w:u w:val="none"/>
            <w:lang w:val="vi-VN"/>
          </w:rPr>
          <w:t>/QĐ-TTg</w:t>
        </w:r>
      </w:hyperlink>
      <w:r>
        <w:rPr>
          <w:bCs/>
          <w:i/>
          <w:iCs/>
          <w:szCs w:val="28"/>
          <w:lang w:val="vi-VN"/>
        </w:rPr>
        <w:t> ngày</w:t>
      </w:r>
      <w:r>
        <w:rPr>
          <w:bCs/>
          <w:i/>
          <w:iCs/>
          <w:szCs w:val="28"/>
        </w:rPr>
        <w:t xml:space="preserve"> 15 </w:t>
      </w:r>
      <w:r>
        <w:rPr>
          <w:bCs/>
          <w:i/>
          <w:iCs/>
          <w:szCs w:val="28"/>
          <w:lang w:val="vi-VN"/>
        </w:rPr>
        <w:t xml:space="preserve">tháng </w:t>
      </w:r>
      <w:r>
        <w:rPr>
          <w:bCs/>
          <w:i/>
          <w:iCs/>
          <w:szCs w:val="28"/>
        </w:rPr>
        <w:t>4</w:t>
      </w:r>
      <w:r>
        <w:rPr>
          <w:bCs/>
          <w:i/>
          <w:iCs/>
          <w:szCs w:val="28"/>
          <w:lang w:val="vi-VN"/>
        </w:rPr>
        <w:t xml:space="preserve"> năm 202</w:t>
      </w:r>
      <w:r>
        <w:rPr>
          <w:bCs/>
          <w:i/>
          <w:iCs/>
          <w:szCs w:val="28"/>
        </w:rPr>
        <w:t>6</w:t>
      </w:r>
      <w:r>
        <w:rPr>
          <w:bCs/>
          <w:i/>
          <w:iCs/>
          <w:szCs w:val="28"/>
          <w:lang w:val="vi-VN"/>
        </w:rPr>
        <w:t xml:space="preserve"> của Thủ tướng Chính phủ</w:t>
      </w:r>
      <w:r>
        <w:rPr>
          <w:bCs/>
          <w:i/>
          <w:iCs/>
          <w:szCs w:val="28"/>
        </w:rPr>
        <w:t>.</w:t>
      </w:r>
    </w:p>
    <w:p>
      <w:pPr>
        <w:shd w:val="clear" w:color="auto" w:fill="FFFFFF"/>
        <w:spacing w:before="120" w:after="120" w:line="276" w:lineRule="auto"/>
        <w:ind w:firstLine="567"/>
        <w:jc w:val="both"/>
        <w:rPr>
          <w:rFonts w:eastAsia="Times New Roman" w:cs="Times New Roman"/>
          <w:b/>
          <w:bCs/>
          <w:szCs w:val="28"/>
        </w:rPr>
      </w:pPr>
      <w:bookmarkStart w:id="9" w:name="khoan_2_6"/>
      <w:r>
        <w:rPr>
          <w:rFonts w:eastAsia="Times New Roman" w:cs="Times New Roman"/>
          <w:b/>
          <w:bCs/>
          <w:szCs w:val="28"/>
        </w:rPr>
        <w:t xml:space="preserve">Điều 4. Định mức phân bổ </w:t>
      </w:r>
    </w:p>
    <w:bookmarkEnd w:id="9"/>
    <w:p>
      <w:pPr>
        <w:shd w:val="clear" w:color="auto" w:fill="FFFFFF"/>
        <w:spacing w:before="120" w:after="120" w:line="276" w:lineRule="auto"/>
        <w:ind w:firstLine="567"/>
        <w:jc w:val="both"/>
        <w:rPr>
          <w:rFonts w:eastAsia="Calibri" w:cs="Times New Roman"/>
          <w:szCs w:val="28"/>
          <w:shd w:val="clear" w:color="auto" w:fill="FFFFFF"/>
        </w:rPr>
      </w:pPr>
      <w:r>
        <w:rPr>
          <w:rFonts w:eastAsia="Calibri" w:cs="Times New Roman"/>
          <w:szCs w:val="28"/>
          <w:shd w:val="clear" w:color="auto" w:fill="FFFFFF"/>
        </w:rPr>
        <w:t>Căn cứ tổng dự toán, kế hoạch vốn ngân sách Trung ương thực hiện Chương trình Thủ tướng Chính phủ giao cho tỉnh Thanh Hóa, kết quả đánh giá tính hình thực hiện, sử dụng, giải ngân năm trước liền kề và các nguyên tắc, tiêu chí phân bổ được quy định tại Nghị quyết này, Uỷ ban nhân dân tỉnh xây dựng phương án phân bổ vốn ngân sách Trung ương và các nguồn lực lồng ghép cho cấp tỉnh, cấp xã để thực hiện các mục tiêu, nhiệm vụ của Chương trình trên địa bàn, trình Hội đồng nhân dân tỉnh quyết định phân bổ cho các địa phương, đơn vị để thực hiện các mục tiêu, nhiệm vụ của Chương trình; bảo đảm ưu tiên phân bổ vốn ngân sách trung ương cho các xã, thôn đặc biệt khó khăn, vùng đồng bào DTTS&amp;MN, an toàn khu, biên giới và hải đảo; không trùng lặp nội dung, đối tượng với các chương trình mục tiêu quốc gia, chương trình, dự án khác thực hiện trên cùng địa bàn.</w:t>
      </w:r>
    </w:p>
    <w:p>
      <w:pPr>
        <w:spacing w:after="0" w:line="276" w:lineRule="auto"/>
        <w:jc w:val="center"/>
        <w:rPr>
          <w:rFonts w:eastAsia="Times New Roman" w:cs="Times New Roman"/>
          <w:b/>
          <w:spacing w:val="4"/>
          <w:szCs w:val="28"/>
        </w:rPr>
      </w:pPr>
      <w:r>
        <w:rPr>
          <w:rFonts w:eastAsia="Times New Roman" w:cs="Times New Roman"/>
          <w:b/>
          <w:spacing w:val="4"/>
          <w:szCs w:val="28"/>
        </w:rPr>
        <w:t>Chương III</w:t>
      </w:r>
    </w:p>
    <w:p>
      <w:pPr>
        <w:spacing w:after="0" w:line="276" w:lineRule="auto"/>
        <w:ind w:firstLine="567"/>
        <w:jc w:val="center"/>
        <w:rPr>
          <w:rFonts w:eastAsia="Calibri" w:cs="Times New Roman"/>
          <w:b/>
          <w:bCs/>
          <w:spacing w:val="4"/>
          <w:szCs w:val="28"/>
          <w:shd w:val="clear" w:color="auto" w:fill="FFFFFF"/>
        </w:rPr>
      </w:pPr>
      <w:bookmarkStart w:id="10" w:name="muc_2_name"/>
      <w:r>
        <w:rPr>
          <w:rFonts w:eastAsia="Calibri" w:cs="Times New Roman"/>
          <w:b/>
          <w:bCs/>
          <w:spacing w:val="4"/>
          <w:szCs w:val="28"/>
          <w:shd w:val="clear" w:color="auto" w:fill="FFFFFF"/>
        </w:rPr>
        <w:t xml:space="preserve">QUY ĐỊNH TỶ LỆ VỐN ĐỐI ỨNG </w:t>
      </w:r>
    </w:p>
    <w:p>
      <w:pPr>
        <w:spacing w:after="0" w:line="276" w:lineRule="auto"/>
        <w:ind w:firstLine="567"/>
        <w:jc w:val="center"/>
        <w:rPr>
          <w:rFonts w:eastAsia="Calibri" w:cs="Times New Roman"/>
          <w:b/>
          <w:bCs/>
          <w:spacing w:val="4"/>
          <w:szCs w:val="28"/>
          <w:shd w:val="clear" w:color="auto" w:fill="FFFFFF"/>
        </w:rPr>
      </w:pPr>
      <w:r>
        <w:rPr>
          <w:rFonts w:eastAsia="Calibri" w:cs="Times New Roman"/>
          <w:b/>
          <w:bCs/>
          <w:spacing w:val="4"/>
          <w:szCs w:val="28"/>
          <w:shd w:val="clear" w:color="auto" w:fill="FFFFFF"/>
        </w:rPr>
        <w:t>CỦA NGÂN SÁCH ĐỊA PHƯƠNG</w:t>
      </w:r>
      <w:bookmarkEnd w:id="10"/>
    </w:p>
    <w:p>
      <w:pPr>
        <w:shd w:val="clear" w:color="auto" w:fill="FFFFFF"/>
        <w:spacing w:before="120" w:after="120" w:line="276" w:lineRule="auto"/>
        <w:ind w:firstLine="567"/>
        <w:jc w:val="both"/>
        <w:rPr>
          <w:rFonts w:eastAsia="Times New Roman" w:cs="Times New Roman"/>
          <w:szCs w:val="28"/>
        </w:rPr>
      </w:pPr>
      <w:bookmarkStart w:id="11" w:name="dieu_7"/>
      <w:r>
        <w:rPr>
          <w:rFonts w:eastAsia="Times New Roman" w:cs="Times New Roman"/>
          <w:b/>
          <w:bCs/>
          <w:szCs w:val="28"/>
        </w:rPr>
        <w:t>Điều 5. Nguyên tắc bố trí vốn đối ứng của ngân sách địa phương</w:t>
      </w:r>
      <w:bookmarkEnd w:id="11"/>
    </w:p>
    <w:p>
      <w:pPr>
        <w:shd w:val="clear" w:color="auto" w:fill="FFFFFF"/>
        <w:spacing w:before="120" w:after="120" w:line="276" w:lineRule="auto"/>
        <w:ind w:firstLine="567"/>
        <w:jc w:val="both"/>
        <w:rPr>
          <w:rFonts w:eastAsia="Times New Roman" w:cs="Times New Roman"/>
          <w:szCs w:val="28"/>
        </w:rPr>
      </w:pPr>
      <w:bookmarkStart w:id="12" w:name="dieu_8"/>
      <w:r>
        <w:rPr>
          <w:rFonts w:eastAsia="Times New Roman" w:cs="Times New Roman"/>
          <w:szCs w:val="28"/>
        </w:rPr>
        <w:t xml:space="preserve">1. Tuân thủ nguyên tắc bố trí vốn đối ứng ngân sách địa phương quy định tại Điều 7 </w:t>
      </w:r>
      <w:r>
        <w:rPr>
          <w:bCs/>
          <w:szCs w:val="28"/>
          <w:lang w:val="vi-VN"/>
        </w:rPr>
        <w:t>Quyết định số </w:t>
      </w:r>
      <w:hyperlink r:id="rId13" w:tgtFrame="_blank" w:tooltip="Quyết định 07/2022/QĐ-TTg" w:history="1">
        <w:r>
          <w:rPr>
            <w:rStyle w:val="Hyperlink"/>
            <w:bCs/>
            <w:color w:val="auto"/>
            <w:szCs w:val="28"/>
            <w:u w:val="none"/>
          </w:rPr>
          <w:t>16</w:t>
        </w:r>
        <w:r>
          <w:rPr>
            <w:rStyle w:val="Hyperlink"/>
            <w:bCs/>
            <w:color w:val="auto"/>
            <w:szCs w:val="28"/>
            <w:u w:val="none"/>
            <w:lang w:val="vi-VN"/>
          </w:rPr>
          <w:t>/202</w:t>
        </w:r>
        <w:r>
          <w:rPr>
            <w:rStyle w:val="Hyperlink"/>
            <w:bCs/>
            <w:color w:val="auto"/>
            <w:szCs w:val="28"/>
            <w:u w:val="none"/>
          </w:rPr>
          <w:t>6</w:t>
        </w:r>
        <w:r>
          <w:rPr>
            <w:rStyle w:val="Hyperlink"/>
            <w:bCs/>
            <w:color w:val="auto"/>
            <w:szCs w:val="28"/>
            <w:u w:val="none"/>
            <w:lang w:val="vi-VN"/>
          </w:rPr>
          <w:t>/QĐ-TTg</w:t>
        </w:r>
      </w:hyperlink>
      <w:r>
        <w:rPr>
          <w:bCs/>
          <w:szCs w:val="28"/>
          <w:lang w:val="vi-VN"/>
        </w:rPr>
        <w:t> ngày</w:t>
      </w:r>
      <w:r>
        <w:rPr>
          <w:bCs/>
          <w:szCs w:val="28"/>
        </w:rPr>
        <w:t xml:space="preserve"> 15 </w:t>
      </w:r>
      <w:r>
        <w:rPr>
          <w:bCs/>
          <w:szCs w:val="28"/>
          <w:lang w:val="vi-VN"/>
        </w:rPr>
        <w:t xml:space="preserve">tháng </w:t>
      </w:r>
      <w:r>
        <w:rPr>
          <w:bCs/>
          <w:szCs w:val="28"/>
        </w:rPr>
        <w:t>4</w:t>
      </w:r>
      <w:r>
        <w:rPr>
          <w:bCs/>
          <w:szCs w:val="28"/>
          <w:lang w:val="vi-VN"/>
        </w:rPr>
        <w:t xml:space="preserve"> năm 202</w:t>
      </w:r>
      <w:r>
        <w:rPr>
          <w:bCs/>
          <w:szCs w:val="28"/>
        </w:rPr>
        <w:t>6</w:t>
      </w:r>
      <w:r>
        <w:rPr>
          <w:bCs/>
          <w:szCs w:val="28"/>
          <w:lang w:val="vi-VN"/>
        </w:rPr>
        <w:t xml:space="preserve"> của Thủ tướng Chính phủ</w:t>
      </w:r>
    </w:p>
    <w:p>
      <w:pPr>
        <w:shd w:val="clear" w:color="auto" w:fill="FFFFFF"/>
        <w:spacing w:before="120" w:after="120" w:line="276" w:lineRule="auto"/>
        <w:ind w:firstLine="567"/>
        <w:jc w:val="both"/>
        <w:rPr>
          <w:rFonts w:eastAsia="Times New Roman" w:cs="Times New Roman"/>
          <w:szCs w:val="28"/>
        </w:rPr>
      </w:pPr>
      <w:r>
        <w:rPr>
          <w:rFonts w:eastAsia="Times New Roman" w:cs="Times New Roman"/>
          <w:szCs w:val="28"/>
        </w:rPr>
        <w:t>2. Tổng vốn đối ứng từ nguồn vốn ngân sách địa phương (tỉnh, cấp xã) giai đoạn 2026-2030 của tỉnh Thanh Hoá phải đảm bảo theo quy định của Trung ương.</w:t>
      </w:r>
    </w:p>
    <w:p>
      <w:pPr>
        <w:shd w:val="clear" w:color="auto" w:fill="FFFFFF"/>
        <w:spacing w:before="120" w:after="120" w:line="276" w:lineRule="auto"/>
        <w:ind w:firstLine="567"/>
        <w:jc w:val="both"/>
        <w:rPr>
          <w:rFonts w:eastAsia="Times New Roman" w:cs="Times New Roman"/>
          <w:szCs w:val="28"/>
        </w:rPr>
      </w:pPr>
      <w:r>
        <w:rPr>
          <w:rFonts w:eastAsia="Times New Roman" w:cs="Times New Roman"/>
          <w:szCs w:val="28"/>
        </w:rPr>
        <w:t>3. Bố trí đủ vốn ngân sách địa phương giai đoạn 2026-2030 theo quy định của Nghị quyết này để thực hiện các mục tiêu, nhiệm vụ đã được cấp có thẩm quyền phê duyệt.</w:t>
      </w:r>
    </w:p>
    <w:p>
      <w:pPr>
        <w:shd w:val="clear" w:color="auto" w:fill="FFFFFF"/>
        <w:spacing w:before="120" w:after="120" w:line="276" w:lineRule="auto"/>
        <w:ind w:firstLine="567"/>
        <w:jc w:val="both"/>
        <w:rPr>
          <w:rFonts w:eastAsia="Times New Roman" w:cs="Times New Roman"/>
          <w:szCs w:val="28"/>
        </w:rPr>
      </w:pPr>
      <w:r>
        <w:rPr>
          <w:rFonts w:eastAsia="Times New Roman" w:cs="Times New Roman"/>
          <w:szCs w:val="28"/>
        </w:rPr>
        <w:t xml:space="preserve"> 4. Đầu tư có trọng tâm, trọng điểm, hiệu quả, bền vững; ngân sách tỉnh hỗ trợ theo thứ tự ưu tiên các xã đặc biệt khó khăn, xã vùng DTTS&amp;MN phấn đấu xây dựng nông thôn mới (NTM); các xã đặc biệt khó khăn, xã vùng DTTS&amp;MN còn lại; các xã phấn đấu xây dựng NTM, NTM hiện đại giai đoạn 2026-2030 được cấp có thẩm quyền quyết định; ngân sách xã tập trung nguồn lực để xây dựng NTM, NTM hiện đại, giảm nghèo bền vững, phát triển kinh tế xã hội vùng đồng </w:t>
      </w:r>
      <w:r>
        <w:rPr>
          <w:rFonts w:eastAsia="Times New Roman" w:cs="Times New Roman"/>
          <w:szCs w:val="28"/>
        </w:rPr>
        <w:lastRenderedPageBreak/>
        <w:t>bào DTTS&amp;MN nhằm hoàn thành mục tiêu, nhiệm vụ của Chương trình trên địa bàn tỉnh giai đoạn 2026-2030.</w:t>
      </w:r>
    </w:p>
    <w:p>
      <w:pPr>
        <w:shd w:val="clear" w:color="auto" w:fill="FFFFFF"/>
        <w:spacing w:before="120" w:after="120" w:line="276" w:lineRule="auto"/>
        <w:ind w:firstLine="567"/>
        <w:jc w:val="both"/>
        <w:rPr>
          <w:rFonts w:eastAsia="Times New Roman" w:cs="Times New Roman"/>
          <w:szCs w:val="28"/>
        </w:rPr>
      </w:pPr>
      <w:r>
        <w:rPr>
          <w:rFonts w:eastAsia="Times New Roman" w:cs="Times New Roman"/>
          <w:szCs w:val="28"/>
        </w:rPr>
        <w:t>5. Các phường có trách nhiệm bố trí nguồn vốn ngân sách địa phương để thực hiện các chính sách giảm nghèo và thực hiện các mục tiêu, nhiệm vụ Chương trình trên địa bàn.</w:t>
      </w:r>
    </w:p>
    <w:p>
      <w:pPr>
        <w:shd w:val="clear" w:color="auto" w:fill="FFFFFF"/>
        <w:spacing w:before="120" w:after="120" w:line="276" w:lineRule="auto"/>
        <w:ind w:firstLine="567"/>
        <w:jc w:val="both"/>
        <w:rPr>
          <w:rFonts w:cs="Times New Roman"/>
          <w:szCs w:val="28"/>
        </w:rPr>
      </w:pPr>
      <w:r>
        <w:rPr>
          <w:rFonts w:cs="Times New Roman"/>
          <w:szCs w:val="28"/>
        </w:rPr>
        <w:t>6. Trường hợp thay đổi địa giới hành chính hoặc thay đổi phân loại đơn vị hành chính trong giai đoạn 2026-2030 thì thực hiện theo quyết định của cấp có thẩm quyền.</w:t>
      </w:r>
    </w:p>
    <w:p>
      <w:pPr>
        <w:shd w:val="clear" w:color="auto" w:fill="FFFFFF"/>
        <w:spacing w:before="120" w:after="120" w:line="276" w:lineRule="auto"/>
        <w:ind w:firstLine="567"/>
        <w:jc w:val="both"/>
        <w:rPr>
          <w:rFonts w:eastAsia="Times New Roman" w:cs="Times New Roman"/>
          <w:szCs w:val="28"/>
        </w:rPr>
      </w:pPr>
      <w:r>
        <w:rPr>
          <w:rFonts w:cs="Times New Roman"/>
          <w:szCs w:val="28"/>
        </w:rPr>
        <w:t>7. B</w:t>
      </w:r>
      <w:r>
        <w:rPr>
          <w:rFonts w:eastAsia="Calibri" w:cs="Times New Roman"/>
          <w:szCs w:val="28"/>
          <w:shd w:val="clear" w:color="auto" w:fill="FFFFFF"/>
        </w:rPr>
        <w:t>ảo đảm không trùng lặp về nội dung chi và đối tượng thụ hưởng với nhiệm vụ đã phân cấp cho địa phương, nhiệm vụ thuộc các chương trình mục tiêu quốc gia, các chương trình, dự án khác hoặc nhiệm vụ chi khác đã được bố trí kinh phí trong dự toán ngân sách nhà nước hằng năm trên cùng địa bàn.</w:t>
      </w:r>
    </w:p>
    <w:p>
      <w:pPr>
        <w:shd w:val="clear" w:color="auto" w:fill="FFFFFF"/>
        <w:spacing w:before="120" w:after="120" w:line="276" w:lineRule="auto"/>
        <w:ind w:firstLine="567"/>
        <w:jc w:val="both"/>
        <w:rPr>
          <w:rFonts w:eastAsia="Times New Roman" w:cs="Times New Roman"/>
          <w:szCs w:val="28"/>
        </w:rPr>
      </w:pPr>
      <w:r>
        <w:rPr>
          <w:rFonts w:eastAsia="Times New Roman" w:cs="Times New Roman"/>
          <w:b/>
          <w:bCs/>
          <w:szCs w:val="28"/>
        </w:rPr>
        <w:t xml:space="preserve">Điều 6. </w:t>
      </w:r>
      <w:bookmarkEnd w:id="12"/>
      <w:r>
        <w:rPr>
          <w:rFonts w:eastAsia="Times New Roman" w:cs="Times New Roman"/>
          <w:b/>
          <w:bCs/>
          <w:szCs w:val="28"/>
        </w:rPr>
        <w:t>Quy định vốn đối ứng của ngân sách tỉnh</w:t>
      </w:r>
    </w:p>
    <w:p>
      <w:pPr>
        <w:shd w:val="clear" w:color="auto" w:fill="FFFFFF"/>
        <w:spacing w:before="120" w:after="120" w:line="276" w:lineRule="auto"/>
        <w:ind w:firstLine="567"/>
        <w:jc w:val="both"/>
        <w:rPr>
          <w:rFonts w:eastAsia="Times New Roman" w:cs="Times New Roman"/>
          <w:szCs w:val="28"/>
        </w:rPr>
      </w:pPr>
      <w:r>
        <w:rPr>
          <w:rFonts w:eastAsia="Times New Roman" w:cs="Times New Roman"/>
          <w:szCs w:val="28"/>
        </w:rPr>
        <w:t>1. Căn cứ dự toán ngân sách tỉnh hằng năm, Hội đồng nhân dân tỉnh cân đối, bố trí nguồn vốn đối ứng thực hiện Chương trình, đảm bảo giai đoạn 2026-2030 bố trí đủ vốn đối ứng ngân sách tỉnh theo quy định.</w:t>
      </w:r>
    </w:p>
    <w:p>
      <w:pPr>
        <w:shd w:val="clear" w:color="auto" w:fill="FFFFFF"/>
        <w:spacing w:before="120" w:after="120" w:line="276" w:lineRule="auto"/>
        <w:ind w:firstLine="567"/>
        <w:jc w:val="both"/>
        <w:rPr>
          <w:rFonts w:eastAsia="Times New Roman" w:cs="Times New Roman"/>
          <w:szCs w:val="28"/>
        </w:rPr>
      </w:pPr>
      <w:bookmarkStart w:id="13" w:name="chuong_3"/>
      <w:r>
        <w:rPr>
          <w:rFonts w:eastAsia="Times New Roman" w:cs="Times New Roman"/>
          <w:szCs w:val="28"/>
        </w:rPr>
        <w:t>2. Tiêu chí, định mức phân bổ như sau:</w:t>
      </w:r>
    </w:p>
    <w:p>
      <w:pPr>
        <w:shd w:val="clear" w:color="auto" w:fill="FFFFFF"/>
        <w:spacing w:before="120" w:after="120" w:line="276" w:lineRule="auto"/>
        <w:ind w:firstLine="567"/>
        <w:jc w:val="both"/>
        <w:rPr>
          <w:rFonts w:eastAsia="Times New Roman" w:cs="Times New Roman"/>
          <w:szCs w:val="28"/>
        </w:rPr>
      </w:pPr>
      <w:r>
        <w:rPr>
          <w:rFonts w:eastAsia="Times New Roman" w:cs="Times New Roman"/>
          <w:szCs w:val="28"/>
        </w:rPr>
        <w:t>a) Vốn đối ứng ngân sách tỉnh hỗ trợ các xã đối ứng với nguồn ngân sách trung ương, trong đó, tập trung ưu tiên hỗ trợ các xã vùng đồng bào DTTS&amp;MN và các xã phấn đấu đạt chuẩn NTM theo quy định của cấp có thẩm quyền</w:t>
      </w:r>
      <w:r>
        <w:rPr>
          <w:rStyle w:val="FootnoteReference"/>
          <w:rFonts w:eastAsia="Times New Roman" w:cs="Times New Roman"/>
          <w:szCs w:val="28"/>
        </w:rPr>
        <w:footnoteReference w:id="2"/>
      </w:r>
      <w:r>
        <w:rPr>
          <w:rFonts w:eastAsia="Times New Roman" w:cs="Times New Roman"/>
          <w:szCs w:val="28"/>
        </w:rPr>
        <w:t>.</w:t>
      </w:r>
    </w:p>
    <w:p>
      <w:pPr>
        <w:shd w:val="clear" w:color="auto" w:fill="FFFFFF"/>
        <w:spacing w:before="120" w:after="120" w:line="276" w:lineRule="auto"/>
        <w:ind w:firstLine="567"/>
        <w:jc w:val="both"/>
        <w:rPr>
          <w:rFonts w:eastAsia="Times New Roman" w:cs="Times New Roman"/>
          <w:szCs w:val="28"/>
        </w:rPr>
      </w:pPr>
      <w:r>
        <w:rPr>
          <w:rFonts w:eastAsia="Times New Roman" w:cs="Times New Roman"/>
          <w:szCs w:val="28"/>
        </w:rPr>
        <w:t>b) Hệ số, định mức phân bổ</w:t>
      </w:r>
    </w:p>
    <w:p>
      <w:pPr>
        <w:shd w:val="clear" w:color="auto" w:fill="FFFFFF"/>
        <w:spacing w:before="120" w:after="120" w:line="276" w:lineRule="auto"/>
        <w:ind w:firstLine="567"/>
        <w:jc w:val="both"/>
        <w:rPr>
          <w:rFonts w:eastAsia="Times New Roman" w:cs="Times New Roman"/>
          <w:szCs w:val="28"/>
        </w:rPr>
      </w:pPr>
      <w:r>
        <w:rPr>
          <w:rFonts w:eastAsia="Times New Roman" w:cs="Times New Roman"/>
          <w:szCs w:val="28"/>
        </w:rPr>
        <w:t>- Hỗ trợ các xã vùng đồng bào DTTS&amp;MN:</w:t>
      </w:r>
    </w:p>
    <w:p>
      <w:pPr>
        <w:shd w:val="clear" w:color="auto" w:fill="FFFFFF"/>
        <w:spacing w:before="120" w:after="120" w:line="276" w:lineRule="auto"/>
        <w:ind w:firstLine="567"/>
        <w:jc w:val="both"/>
        <w:rPr>
          <w:rFonts w:eastAsia="Times New Roman" w:cs="Times New Roman"/>
          <w:szCs w:val="28"/>
        </w:rPr>
      </w:pPr>
      <w:r>
        <w:rPr>
          <w:rFonts w:eastAsia="Times New Roman" w:cs="Times New Roman"/>
          <w:szCs w:val="28"/>
        </w:rPr>
        <w:t>+ Các xã khu vực III:</w:t>
      </w:r>
    </w:p>
    <w:p>
      <w:pPr>
        <w:shd w:val="clear" w:color="auto" w:fill="FFFFFF"/>
        <w:spacing w:before="120" w:after="120" w:line="276" w:lineRule="auto"/>
        <w:ind w:left="567" w:firstLine="720"/>
        <w:jc w:val="both"/>
        <w:rPr>
          <w:rFonts w:eastAsia="Times New Roman" w:cs="Times New Roman"/>
          <w:i/>
          <w:szCs w:val="28"/>
        </w:rPr>
      </w:pPr>
      <w:r>
        <w:rPr>
          <w:rFonts w:eastAsia="Times New Roman" w:cs="Times New Roman"/>
          <w:szCs w:val="28"/>
        </w:rPr>
        <w:t>./ Hỗ trợ 28 xã phấn đấu xây dựng NTM giai đoạn 2026-2030</w:t>
      </w:r>
      <w:r>
        <w:rPr>
          <w:rFonts w:eastAsia="Times New Roman" w:cs="Times New Roman"/>
          <w:iCs/>
          <w:szCs w:val="28"/>
        </w:rPr>
        <w:t>: Hệ số</w:t>
      </w:r>
      <w:r>
        <w:rPr>
          <w:rFonts w:eastAsia="Times New Roman" w:cs="Times New Roman"/>
          <w:i/>
          <w:szCs w:val="28"/>
        </w:rPr>
        <w:t xml:space="preserve"> </w:t>
      </w:r>
      <w:r>
        <w:rPr>
          <w:rFonts w:eastAsia="Times New Roman" w:cs="Times New Roman"/>
          <w:iCs/>
          <w:szCs w:val="28"/>
        </w:rPr>
        <w:t>01 lần tổng vốn ngân sách Trung ương hỗ trợ.</w:t>
      </w:r>
      <w:r>
        <w:rPr>
          <w:rFonts w:eastAsia="Times New Roman" w:cs="Times New Roman"/>
          <w:i/>
          <w:szCs w:val="28"/>
        </w:rPr>
        <w:t xml:space="preserve"> </w:t>
      </w:r>
    </w:p>
    <w:p>
      <w:pPr>
        <w:shd w:val="clear" w:color="auto" w:fill="FFFFFF"/>
        <w:spacing w:before="120" w:after="120" w:line="276" w:lineRule="auto"/>
        <w:ind w:left="567" w:firstLine="720"/>
        <w:jc w:val="both"/>
        <w:rPr>
          <w:rFonts w:eastAsia="Times New Roman" w:cs="Times New Roman"/>
          <w:i/>
          <w:szCs w:val="28"/>
        </w:rPr>
      </w:pPr>
      <w:r>
        <w:rPr>
          <w:rFonts w:eastAsia="Times New Roman" w:cs="Times New Roman"/>
          <w:szCs w:val="28"/>
        </w:rPr>
        <w:t>./ Hỗ trợ 29 xã còn lại</w:t>
      </w:r>
      <w:r>
        <w:rPr>
          <w:rFonts w:eastAsia="Times New Roman" w:cs="Times New Roman"/>
          <w:i/>
          <w:szCs w:val="28"/>
        </w:rPr>
        <w:t xml:space="preserve">: </w:t>
      </w:r>
      <w:r>
        <w:rPr>
          <w:rFonts w:eastAsia="Times New Roman" w:cs="Times New Roman"/>
          <w:iCs/>
          <w:szCs w:val="28"/>
        </w:rPr>
        <w:t>Hệ số</w:t>
      </w:r>
      <w:r>
        <w:rPr>
          <w:rFonts w:eastAsia="Times New Roman" w:cs="Times New Roman"/>
          <w:i/>
          <w:szCs w:val="28"/>
        </w:rPr>
        <w:t xml:space="preserve"> </w:t>
      </w:r>
      <w:r>
        <w:rPr>
          <w:rFonts w:eastAsia="Times New Roman" w:cs="Times New Roman"/>
          <w:iCs/>
          <w:szCs w:val="28"/>
        </w:rPr>
        <w:t>0,5 lần tổng vốn ngân sách Trung ương hỗ trợ.</w:t>
      </w:r>
    </w:p>
    <w:p>
      <w:pPr>
        <w:shd w:val="clear" w:color="auto" w:fill="FFFFFF"/>
        <w:spacing w:before="120" w:after="120" w:line="276" w:lineRule="auto"/>
        <w:ind w:firstLine="567"/>
        <w:jc w:val="both"/>
        <w:rPr>
          <w:rFonts w:eastAsia="Times New Roman" w:cs="Times New Roman"/>
          <w:i/>
          <w:szCs w:val="28"/>
        </w:rPr>
      </w:pPr>
      <w:r>
        <w:rPr>
          <w:rFonts w:eastAsia="Times New Roman" w:cs="Times New Roman"/>
          <w:szCs w:val="28"/>
        </w:rPr>
        <w:t>+ Hỗ trợ 17 xã khu vực II phấn đấu xây dựng NTM giai đoạn 2026-2030</w:t>
      </w:r>
      <w:r>
        <w:rPr>
          <w:rFonts w:eastAsia="Times New Roman" w:cs="Times New Roman"/>
          <w:i/>
          <w:szCs w:val="28"/>
        </w:rPr>
        <w:t xml:space="preserve">: </w:t>
      </w:r>
      <w:r>
        <w:rPr>
          <w:rFonts w:eastAsia="Times New Roman" w:cs="Times New Roman"/>
          <w:iCs/>
          <w:szCs w:val="28"/>
        </w:rPr>
        <w:t>Hệ số</w:t>
      </w:r>
      <w:r>
        <w:rPr>
          <w:rFonts w:eastAsia="Times New Roman" w:cs="Times New Roman"/>
          <w:i/>
          <w:szCs w:val="28"/>
        </w:rPr>
        <w:t xml:space="preserve"> </w:t>
      </w:r>
      <w:r>
        <w:rPr>
          <w:rFonts w:eastAsia="Times New Roman" w:cs="Times New Roman"/>
          <w:iCs/>
          <w:szCs w:val="28"/>
        </w:rPr>
        <w:t>01 lần tổng vốn ngân sách Trung ương hỗ trợ.</w:t>
      </w:r>
    </w:p>
    <w:p>
      <w:pPr>
        <w:shd w:val="clear" w:color="auto" w:fill="FFFFFF"/>
        <w:spacing w:before="120" w:after="120" w:line="276" w:lineRule="auto"/>
        <w:ind w:firstLine="567"/>
        <w:jc w:val="both"/>
        <w:rPr>
          <w:rFonts w:eastAsia="Times New Roman" w:cs="Times New Roman"/>
          <w:iCs/>
          <w:szCs w:val="28"/>
        </w:rPr>
      </w:pPr>
      <w:r>
        <w:rPr>
          <w:rFonts w:eastAsia="Times New Roman" w:cs="Times New Roman"/>
          <w:szCs w:val="28"/>
        </w:rPr>
        <w:t>+ Hỗ trợ 04 xã khu vực I giai đoạn 2026-2030</w:t>
      </w:r>
      <w:r>
        <w:rPr>
          <w:rFonts w:eastAsia="Times New Roman" w:cs="Times New Roman"/>
          <w:i/>
          <w:szCs w:val="28"/>
        </w:rPr>
        <w:t xml:space="preserve">: </w:t>
      </w:r>
      <w:r>
        <w:rPr>
          <w:rFonts w:eastAsia="Times New Roman" w:cs="Times New Roman"/>
          <w:iCs/>
          <w:szCs w:val="28"/>
        </w:rPr>
        <w:t>Hệ số</w:t>
      </w:r>
      <w:r>
        <w:rPr>
          <w:rFonts w:eastAsia="Times New Roman" w:cs="Times New Roman"/>
          <w:i/>
          <w:szCs w:val="28"/>
        </w:rPr>
        <w:t xml:space="preserve"> </w:t>
      </w:r>
      <w:r>
        <w:rPr>
          <w:rFonts w:eastAsia="Times New Roman" w:cs="Times New Roman"/>
          <w:iCs/>
          <w:szCs w:val="28"/>
        </w:rPr>
        <w:t>01 lần tổng vốn ngân sách Trung ương hỗ trợ.</w:t>
      </w:r>
    </w:p>
    <w:p>
      <w:pPr>
        <w:shd w:val="clear" w:color="auto" w:fill="FFFFFF"/>
        <w:spacing w:before="120" w:after="120" w:line="276" w:lineRule="auto"/>
        <w:ind w:firstLine="567"/>
        <w:jc w:val="both"/>
        <w:rPr>
          <w:rFonts w:eastAsia="Times New Roman" w:cs="Times New Roman"/>
          <w:iCs/>
          <w:szCs w:val="28"/>
        </w:rPr>
      </w:pPr>
      <w:r>
        <w:rPr>
          <w:rFonts w:eastAsia="Times New Roman" w:cs="Times New Roman"/>
          <w:szCs w:val="28"/>
        </w:rPr>
        <w:lastRenderedPageBreak/>
        <w:t>- Hỗ trợ 69 xã còn lại phấn phấn đấu xây dựng NTM giai đoạn 2026-2030</w:t>
      </w:r>
      <w:r>
        <w:rPr>
          <w:rFonts w:eastAsia="Times New Roman" w:cs="Times New Roman"/>
          <w:i/>
          <w:szCs w:val="28"/>
        </w:rPr>
        <w:t xml:space="preserve">: </w:t>
      </w:r>
      <w:r>
        <w:rPr>
          <w:rFonts w:eastAsia="Times New Roman" w:cs="Times New Roman"/>
          <w:iCs/>
          <w:szCs w:val="28"/>
        </w:rPr>
        <w:t>Hệ số</w:t>
      </w:r>
      <w:r>
        <w:rPr>
          <w:rFonts w:eastAsia="Times New Roman" w:cs="Times New Roman"/>
          <w:i/>
          <w:szCs w:val="28"/>
        </w:rPr>
        <w:t xml:space="preserve"> </w:t>
      </w:r>
      <w:r>
        <w:rPr>
          <w:rFonts w:eastAsia="Times New Roman" w:cs="Times New Roman"/>
          <w:iCs/>
          <w:szCs w:val="28"/>
        </w:rPr>
        <w:t>0,3 lần tổng vốn ngân sách Trung ương hỗ trợ.</w:t>
      </w:r>
    </w:p>
    <w:p>
      <w:pPr>
        <w:shd w:val="clear" w:color="auto" w:fill="FFFFFF"/>
        <w:spacing w:before="120" w:after="120" w:line="276" w:lineRule="auto"/>
        <w:ind w:firstLine="567"/>
        <w:jc w:val="both"/>
        <w:rPr>
          <w:rFonts w:eastAsia="Times New Roman" w:cs="Times New Roman"/>
          <w:szCs w:val="28"/>
        </w:rPr>
      </w:pPr>
      <w:r>
        <w:rPr>
          <w:rFonts w:eastAsia="Times New Roman" w:cs="Times New Roman"/>
          <w:szCs w:val="28"/>
        </w:rPr>
        <w:t xml:space="preserve">c) Vốn đối ứng ngân sách tỉnh bố trí hỗ trợ cho các xã, các thôn/bản phấn đấu đạt chuẩn NTM, NTM hiện đại và hỗ trợ các chủ thể phát triển sản phẩm OCOP (mỗi xã một sản phẩm) giai đoạn 2026-2030. </w:t>
      </w:r>
    </w:p>
    <w:p>
      <w:pPr>
        <w:shd w:val="clear" w:color="auto" w:fill="FFFFFF"/>
        <w:spacing w:before="120" w:after="120" w:line="276" w:lineRule="auto"/>
        <w:ind w:firstLine="567"/>
        <w:jc w:val="both"/>
        <w:rPr>
          <w:rFonts w:eastAsia="Times New Roman" w:cs="Times New Roman"/>
          <w:szCs w:val="28"/>
        </w:rPr>
      </w:pPr>
      <w:r>
        <w:rPr>
          <w:rFonts w:eastAsia="Times New Roman" w:cs="Times New Roman"/>
          <w:szCs w:val="28"/>
        </w:rPr>
        <w:t>- Hỗ trợ các xã được công nhận đạt chuẩn nông thôn mới trong giai đoạn 2026-2030. Mức hỗ trợ 3.000 triệu đồng/xã.</w:t>
      </w:r>
    </w:p>
    <w:p>
      <w:pPr>
        <w:shd w:val="clear" w:color="auto" w:fill="FFFFFF"/>
        <w:spacing w:before="120" w:after="120" w:line="276" w:lineRule="auto"/>
        <w:ind w:firstLine="567"/>
        <w:jc w:val="both"/>
        <w:rPr>
          <w:rFonts w:eastAsia="Times New Roman" w:cs="Times New Roman"/>
          <w:szCs w:val="28"/>
        </w:rPr>
      </w:pPr>
      <w:r>
        <w:rPr>
          <w:rFonts w:eastAsia="Times New Roman" w:cs="Times New Roman"/>
          <w:szCs w:val="28"/>
        </w:rPr>
        <w:t>- Hỗ trợ các thôn (bản) miền núi được công nhận đạt chuẩn nông thôn mới trong giai đoạn 2026-2030. Mức hỗ trợ 200 trđ/thôn (bản).</w:t>
      </w:r>
    </w:p>
    <w:p>
      <w:pPr>
        <w:shd w:val="clear" w:color="auto" w:fill="FFFFFF"/>
        <w:spacing w:before="120" w:after="120" w:line="276" w:lineRule="auto"/>
        <w:ind w:firstLine="567"/>
        <w:jc w:val="both"/>
        <w:rPr>
          <w:rFonts w:eastAsia="Times New Roman" w:cs="Times New Roman"/>
          <w:szCs w:val="28"/>
        </w:rPr>
      </w:pPr>
      <w:r>
        <w:rPr>
          <w:rFonts w:eastAsia="Times New Roman" w:cs="Times New Roman"/>
          <w:szCs w:val="28"/>
        </w:rPr>
        <w:t>- Hỗ trợ chủ thể</w:t>
      </w:r>
      <w:r>
        <w:rPr>
          <w:rStyle w:val="FootnoteReference"/>
          <w:rFonts w:eastAsia="Times New Roman" w:cs="Times New Roman"/>
          <w:szCs w:val="28"/>
        </w:rPr>
        <w:footnoteReference w:id="3"/>
      </w:r>
      <w:r>
        <w:rPr>
          <w:rFonts w:eastAsia="Times New Roman" w:cs="Times New Roman"/>
          <w:szCs w:val="28"/>
        </w:rPr>
        <w:t xml:space="preserve"> OCOP c</w:t>
      </w:r>
      <w:r>
        <w:t xml:space="preserve">ó sản phẩm OCOP đạt 3 sao, 4 sao và 5 sao được các cấp có thẩm quyền công nhận </w:t>
      </w:r>
      <w:r>
        <w:rPr>
          <w:rFonts w:eastAsia="Times New Roman" w:cs="Times New Roman"/>
          <w:szCs w:val="28"/>
        </w:rPr>
        <w:t xml:space="preserve">trong giai đoạn 2026-2030: </w:t>
      </w:r>
    </w:p>
    <w:p>
      <w:pPr>
        <w:shd w:val="clear" w:color="auto" w:fill="FFFFFF"/>
        <w:spacing w:before="120" w:after="120" w:line="276" w:lineRule="auto"/>
        <w:ind w:firstLine="567"/>
        <w:jc w:val="both"/>
      </w:pPr>
      <w:r>
        <w:t>+ Đối với sản phẩm được đánh giá, công nhận lần đầu: Hỗ trợ 75 triệu đồng/sản phẩm đạt OCOP từ 3 sao trở lên;</w:t>
      </w:r>
    </w:p>
    <w:p>
      <w:pPr>
        <w:shd w:val="clear" w:color="auto" w:fill="FFFFFF"/>
        <w:spacing w:before="120" w:after="120" w:line="276" w:lineRule="auto"/>
        <w:ind w:firstLine="567"/>
        <w:jc w:val="both"/>
      </w:pPr>
      <w:r>
        <w:t xml:space="preserve">+ Đối với sản phẩm đánh giá nâng hạng sao: Hỗ trợ khoản chênh lệch giữa các mức so với mức hỗ trợ đạt sao lần đầu, cụ thể: Hỗ trợ 50 triệu đồng/sản phẩm OCOP 3 sao nâng hạng lên 4 sao; hỗ trợ 50 triệu đồng/sản phẩm OCOP 4 sao nâng hạng lên 5 sao; hỗ trợ 75 triệu đồng/sản phẩm OCOP 3 sao nâng hạng lên 5 sao. </w:t>
      </w:r>
    </w:p>
    <w:p>
      <w:pPr>
        <w:shd w:val="clear" w:color="auto" w:fill="FFFFFF"/>
        <w:spacing w:before="120" w:after="120" w:line="276" w:lineRule="auto"/>
        <w:ind w:firstLine="567"/>
        <w:jc w:val="both"/>
      </w:pPr>
      <w:r>
        <w:t>+ Nội dung hỗ trợ: Hỗ trợ tem nhãn, bao bì; hỗ trợ chứng nhận sở hữu nhãn hiệu; hoàn thiện hệ thống xử lý môi trường; kiểm định sản phẩm, chứng nhận quản lý chất lượng tiên tiến trong sản xuất.</w:t>
      </w:r>
    </w:p>
    <w:p>
      <w:pPr>
        <w:shd w:val="clear" w:color="auto" w:fill="FFFFFF"/>
        <w:spacing w:before="120" w:after="120" w:line="276" w:lineRule="auto"/>
        <w:ind w:firstLine="567"/>
        <w:jc w:val="both"/>
        <w:rPr>
          <w:rFonts w:eastAsia="Times New Roman" w:cs="Times New Roman"/>
          <w:bCs/>
          <w:i/>
          <w:szCs w:val="28"/>
        </w:rPr>
      </w:pPr>
      <w:r>
        <w:rPr>
          <w:rFonts w:eastAsia="Times New Roman" w:cs="Times New Roman"/>
          <w:bCs/>
          <w:i/>
          <w:szCs w:val="28"/>
          <w:u w:val="single"/>
        </w:rPr>
        <w:t>Cơ sở đề xuất:</w:t>
      </w:r>
      <w:r>
        <w:rPr>
          <w:rFonts w:eastAsia="Times New Roman" w:cs="Times New Roman"/>
          <w:b/>
          <w:i/>
          <w:szCs w:val="28"/>
        </w:rPr>
        <w:t xml:space="preserve"> </w:t>
      </w:r>
      <w:r>
        <w:rPr>
          <w:rFonts w:eastAsia="Times New Roman" w:cs="Times New Roman"/>
          <w:bCs/>
          <w:i/>
          <w:szCs w:val="28"/>
        </w:rPr>
        <w:t>Căn cứ mục tiêu xây dựng NTM, phấn đấu đến năm 2030, toàn tỉnh có 80% số xã đạt chuẩn NTM, tương ứng với 118 xã, gồm: 69/69 (100%) xã vùng đồng bằng; 4/4 (100%) xã khu vực I; 17/17 (100%) xã khu vực II; 28/57 (49%) xã khu vực III; có 158 thôn/bản miền núi đạt chuẩn NTM; có 328 sản phẩm OCOP (được công nhận và nâng hạng)</w:t>
      </w:r>
    </w:p>
    <w:p>
      <w:pPr>
        <w:shd w:val="clear" w:color="auto" w:fill="FFFFFF"/>
        <w:spacing w:before="120" w:after="120" w:line="276" w:lineRule="auto"/>
        <w:ind w:firstLine="567"/>
        <w:jc w:val="both"/>
        <w:rPr>
          <w:rFonts w:eastAsia="Times New Roman" w:cs="Times New Roman"/>
          <w:bCs/>
          <w:i/>
          <w:szCs w:val="28"/>
        </w:rPr>
      </w:pPr>
      <w:r>
        <w:rPr>
          <w:rFonts w:eastAsia="Times New Roman" w:cs="Times New Roman"/>
          <w:bCs/>
          <w:i/>
          <w:szCs w:val="28"/>
        </w:rPr>
        <w:t>Các xã vùng đồng bào DTTS và miền núi (78 xã) điều kiện khó khăn, chưa tự cân đối được ngân sách; hạ tầng kinh tế - xã hội còn thiếu, chưa đáp ứng được yêu cầu; trong khi suất đầu tư lớn (do vị trí địa lý, địa hình chia cắt, độ dốc lớn, giá nguyên vật liệu cao…). Vì vậy, không có điều kiện để đối ứng, cần sự hỗ trợ từ ngân sách tỉnh để đạt mục tiêu Chương trình.</w:t>
      </w:r>
    </w:p>
    <w:p>
      <w:pPr>
        <w:shd w:val="clear" w:color="auto" w:fill="FFFFFF"/>
        <w:spacing w:before="120" w:after="120" w:line="276" w:lineRule="auto"/>
        <w:ind w:firstLine="567"/>
        <w:jc w:val="both"/>
        <w:rPr>
          <w:bCs/>
          <w:i/>
          <w:szCs w:val="28"/>
        </w:rPr>
      </w:pPr>
      <w:r>
        <w:rPr>
          <w:bCs/>
          <w:i/>
          <w:szCs w:val="28"/>
        </w:rPr>
        <w:lastRenderedPageBreak/>
        <w:t>Theo dự kiến của Trung ương, vốn địa phương (Thanh Hóa) đối ứng tối thiểu 125% (tương ứng 1,25 lần) so với số vốn ngân sách Trung ương hỗ trợ tỉnh giai đoạn 2026-2030</w:t>
      </w:r>
      <w:r>
        <w:rPr>
          <w:rStyle w:val="FootnoteReference"/>
          <w:bCs/>
          <w:i/>
          <w:szCs w:val="28"/>
        </w:rPr>
        <w:footnoteReference w:id="4"/>
      </w:r>
      <w:r>
        <w:rPr>
          <w:bCs/>
          <w:i/>
          <w:szCs w:val="28"/>
        </w:rPr>
        <w:t xml:space="preserve">. </w:t>
      </w:r>
    </w:p>
    <w:p>
      <w:pPr>
        <w:shd w:val="clear" w:color="auto" w:fill="FFFFFF"/>
        <w:spacing w:before="120" w:after="120" w:line="276" w:lineRule="auto"/>
        <w:ind w:firstLine="567"/>
        <w:jc w:val="both"/>
        <w:rPr>
          <w:bCs/>
          <w:i/>
          <w:szCs w:val="28"/>
        </w:rPr>
      </w:pPr>
      <w:r>
        <w:rPr>
          <w:bCs/>
          <w:i/>
          <w:szCs w:val="28"/>
        </w:rPr>
        <w:t>Theo đó, đề xuất ngân sách tỉnh hỗ trợ cho các xã vùng đồng bào dân tộc thiểu số và miền núi (xã khu vực I, II, III), các xã phấn đấu đạt chuẩn NTM và phát triển sản phẩm OCOP trong giai đoạn 2026-2030. Để động viên, khuyến khích các địa phương thực hiện Chương trình, đồng thời, đảm bảo tỷ lệ vốn đối ứng theo quy định.</w:t>
      </w:r>
    </w:p>
    <w:p>
      <w:pPr>
        <w:shd w:val="clear" w:color="auto" w:fill="FFFFFF"/>
        <w:spacing w:before="120" w:after="120" w:line="276" w:lineRule="auto"/>
        <w:ind w:firstLine="567"/>
        <w:jc w:val="both"/>
        <w:rPr>
          <w:rFonts w:eastAsia="Times New Roman" w:cs="Times New Roman"/>
          <w:szCs w:val="28"/>
        </w:rPr>
      </w:pPr>
      <w:r>
        <w:rPr>
          <w:rFonts w:eastAsia="Times New Roman" w:cs="Times New Roman"/>
          <w:szCs w:val="28"/>
        </w:rPr>
        <w:t xml:space="preserve">4. Nguồn vốn thực hiện: </w:t>
      </w:r>
      <w:r>
        <w:t>Ngân sách tỉnh bố trí hằng năm theo khả năng cân đối ngân sách và các nguồn vốn huy động hợp pháp khác theo quy định của pháp luật</w:t>
      </w:r>
      <w:r>
        <w:rPr>
          <w:rFonts w:eastAsia="Times New Roman" w:cs="Times New Roman"/>
          <w:szCs w:val="28"/>
        </w:rPr>
        <w:t>.</w:t>
      </w:r>
    </w:p>
    <w:p>
      <w:pPr>
        <w:shd w:val="clear" w:color="auto" w:fill="FFFFFF"/>
        <w:spacing w:before="120" w:after="120" w:line="276" w:lineRule="auto"/>
        <w:ind w:firstLine="567"/>
        <w:jc w:val="both"/>
        <w:rPr>
          <w:rFonts w:eastAsia="Times New Roman" w:cs="Times New Roman"/>
          <w:szCs w:val="28"/>
        </w:rPr>
      </w:pPr>
      <w:r>
        <w:rPr>
          <w:rFonts w:eastAsia="Times New Roman" w:cs="Times New Roman"/>
          <w:szCs w:val="28"/>
        </w:rPr>
        <w:t xml:space="preserve">5. </w:t>
      </w:r>
      <w:r>
        <w:t>Hằng năm, căn cứ khả năng cân đối ngân sách 3 tỉnh, mục tiêu, nhiệm vụ của Chương trình, kết quả thực hiện và giải ngân vốn của các địa phương, Ủy ban nhân dân tỉnh xây dựng phương án phân bổ vốn đối ứng ngân sách tỉnh cho cấp xã theo nguyên tắc, tiêu chí, định mức quy định tại Điều này, trình Hội đồng nhân dân tỉnh quyết định theo quy định.</w:t>
      </w:r>
    </w:p>
    <w:p>
      <w:pPr>
        <w:shd w:val="clear" w:color="auto" w:fill="FFFFFF"/>
        <w:spacing w:before="120" w:after="120" w:line="276" w:lineRule="auto"/>
        <w:ind w:firstLine="567"/>
        <w:jc w:val="both"/>
        <w:rPr>
          <w:rFonts w:eastAsia="Times New Roman" w:cs="Times New Roman"/>
          <w:b/>
          <w:szCs w:val="28"/>
        </w:rPr>
      </w:pPr>
      <w:r>
        <w:rPr>
          <w:rFonts w:eastAsia="Times New Roman" w:cs="Times New Roman"/>
          <w:b/>
          <w:szCs w:val="28"/>
        </w:rPr>
        <w:t>Điều 7. Quy định tỷ lệ vốn đối ứng của ngân sách xã</w:t>
      </w:r>
    </w:p>
    <w:p>
      <w:pPr>
        <w:shd w:val="clear" w:color="auto" w:fill="FFFFFF"/>
        <w:spacing w:before="120" w:after="120" w:line="276" w:lineRule="auto"/>
        <w:ind w:firstLine="567"/>
        <w:jc w:val="both"/>
        <w:rPr>
          <w:rFonts w:eastAsia="Times New Roman" w:cs="Times New Roman"/>
          <w:szCs w:val="28"/>
        </w:rPr>
      </w:pPr>
      <w:r>
        <w:rPr>
          <w:rFonts w:eastAsia="Times New Roman" w:cs="Times New Roman"/>
          <w:szCs w:val="28"/>
        </w:rPr>
        <w:t>a) 78 xã vùng đồng bào DTTS&amp;MN</w:t>
      </w:r>
      <w:r>
        <w:rPr>
          <w:rFonts w:eastAsia="Times New Roman" w:cs="Times New Roman"/>
          <w:iCs/>
          <w:szCs w:val="28"/>
        </w:rPr>
        <w:t>:</w:t>
      </w:r>
      <w:r>
        <w:rPr>
          <w:rFonts w:eastAsia="Times New Roman" w:cs="Times New Roman"/>
          <w:i/>
          <w:szCs w:val="28"/>
        </w:rPr>
        <w:t xml:space="preserve"> </w:t>
      </w:r>
      <w:r>
        <w:rPr>
          <w:rFonts w:eastAsia="Times New Roman" w:cs="Times New Roman"/>
          <w:szCs w:val="28"/>
        </w:rPr>
        <w:t>Hằng năm, trên cơ sở khả năng ngân sách địa phương để cân đối bố trí thêm thực hiện Chương trình.</w:t>
      </w:r>
    </w:p>
    <w:p>
      <w:pPr>
        <w:shd w:val="clear" w:color="auto" w:fill="FFFFFF"/>
        <w:spacing w:before="120" w:after="120" w:line="276" w:lineRule="auto"/>
        <w:ind w:firstLine="567"/>
        <w:jc w:val="both"/>
        <w:rPr>
          <w:rFonts w:eastAsia="Times New Roman" w:cs="Times New Roman"/>
          <w:b/>
          <w:szCs w:val="28"/>
        </w:rPr>
      </w:pPr>
      <w:r>
        <w:rPr>
          <w:rFonts w:eastAsia="Times New Roman" w:cs="Times New Roman"/>
          <w:szCs w:val="28"/>
        </w:rPr>
        <w:t>b) Các xã còn lại (69 xã): Hằng năm ngân sách địa phương đối ứng tối thiểu gấp 2 lần tổng vốn ngân sách Trung ương hỗ trợ thực hiện Chương trình.</w:t>
      </w:r>
      <w:r>
        <w:rPr>
          <w:rFonts w:eastAsia="Times New Roman" w:cs="Times New Roman"/>
          <w:b/>
          <w:szCs w:val="28"/>
        </w:rPr>
        <w:t xml:space="preserve"> </w:t>
      </w:r>
    </w:p>
    <w:p>
      <w:pPr>
        <w:widowControl w:val="0"/>
        <w:pBdr>
          <w:top w:val="dotted" w:sz="4" w:space="0" w:color="FFFFFF"/>
          <w:left w:val="dotted" w:sz="4" w:space="0" w:color="FFFFFF"/>
          <w:bottom w:val="dotted" w:sz="4" w:space="13" w:color="FFFFFF"/>
          <w:right w:val="dotted" w:sz="4" w:space="1" w:color="FFFFFF"/>
        </w:pBdr>
        <w:shd w:val="clear" w:color="auto" w:fill="FFFFFF"/>
        <w:spacing w:before="120" w:after="120" w:line="276" w:lineRule="auto"/>
        <w:ind w:firstLine="720"/>
        <w:jc w:val="both"/>
        <w:rPr>
          <w:rFonts w:eastAsia="Times New Roman" w:cs="Times New Roman"/>
          <w:b/>
          <w:szCs w:val="28"/>
        </w:rPr>
      </w:pPr>
      <w:r>
        <w:rPr>
          <w:rFonts w:eastAsia="Times New Roman" w:cs="Times New Roman"/>
          <w:b/>
          <w:szCs w:val="28"/>
        </w:rPr>
        <w:t xml:space="preserve">Điều 8. </w:t>
      </w:r>
      <w:r>
        <w:rPr>
          <w:b/>
          <w:szCs w:val="28"/>
        </w:rPr>
        <w:t>Dự kiến nhu cầu vốn thực hiện Chương trình</w:t>
      </w:r>
    </w:p>
    <w:p>
      <w:pPr>
        <w:widowControl w:val="0"/>
        <w:pBdr>
          <w:top w:val="dotted" w:sz="4" w:space="0" w:color="FFFFFF"/>
          <w:left w:val="dotted" w:sz="4" w:space="0" w:color="FFFFFF"/>
          <w:bottom w:val="dotted" w:sz="4" w:space="13" w:color="FFFFFF"/>
          <w:right w:val="dotted" w:sz="4" w:space="1" w:color="FFFFFF"/>
        </w:pBdr>
        <w:shd w:val="clear" w:color="auto" w:fill="FFFFFF"/>
        <w:spacing w:before="120" w:after="120" w:line="276" w:lineRule="auto"/>
        <w:ind w:firstLine="720"/>
        <w:jc w:val="both"/>
        <w:rPr>
          <w:szCs w:val="28"/>
        </w:rPr>
      </w:pPr>
      <w:r>
        <w:rPr>
          <w:szCs w:val="28"/>
        </w:rPr>
        <w:t xml:space="preserve">1. Ngân sách Trung ương hỗ trợ trực tiếp Chương trình: </w:t>
      </w:r>
      <w:r>
        <w:rPr>
          <w:rFonts w:eastAsia="Times New Roman" w:cs="Times New Roman"/>
          <w:szCs w:val="28"/>
        </w:rPr>
        <w:t xml:space="preserve">5.507,76 </w:t>
      </w:r>
      <w:r>
        <w:rPr>
          <w:szCs w:val="28"/>
        </w:rPr>
        <w:t>tỷ đồng.</w:t>
      </w:r>
    </w:p>
    <w:p>
      <w:pPr>
        <w:widowControl w:val="0"/>
        <w:pBdr>
          <w:top w:val="dotted" w:sz="4" w:space="0" w:color="FFFFFF"/>
          <w:left w:val="dotted" w:sz="4" w:space="0" w:color="FFFFFF"/>
          <w:bottom w:val="dotted" w:sz="4" w:space="13" w:color="FFFFFF"/>
          <w:right w:val="dotted" w:sz="4" w:space="1" w:color="FFFFFF"/>
        </w:pBdr>
        <w:shd w:val="clear" w:color="auto" w:fill="FFFFFF"/>
        <w:spacing w:before="120" w:after="120" w:line="276" w:lineRule="auto"/>
        <w:ind w:firstLine="720"/>
        <w:jc w:val="both"/>
        <w:rPr>
          <w:szCs w:val="28"/>
        </w:rPr>
      </w:pPr>
      <w:r>
        <w:rPr>
          <w:szCs w:val="28"/>
        </w:rPr>
        <w:t>2. Ngân sách địa phương (tỉnh, xã): 6.877,2 tỷ đồng.</w:t>
      </w:r>
    </w:p>
    <w:p>
      <w:pPr>
        <w:widowControl w:val="0"/>
        <w:pBdr>
          <w:top w:val="dotted" w:sz="4" w:space="0" w:color="FFFFFF"/>
          <w:left w:val="dotted" w:sz="4" w:space="0" w:color="FFFFFF"/>
          <w:bottom w:val="dotted" w:sz="4" w:space="13" w:color="FFFFFF"/>
          <w:right w:val="dotted" w:sz="4" w:space="1" w:color="FFFFFF"/>
        </w:pBdr>
        <w:shd w:val="clear" w:color="auto" w:fill="FFFFFF"/>
        <w:spacing w:before="120" w:after="120" w:line="276" w:lineRule="auto"/>
        <w:ind w:firstLine="720"/>
        <w:jc w:val="both"/>
        <w:rPr>
          <w:szCs w:val="28"/>
        </w:rPr>
      </w:pPr>
      <w:r>
        <w:rPr>
          <w:szCs w:val="28"/>
        </w:rPr>
        <w:t>- Ngân sách tỉnh: 3.441,307 tỷ đồng</w:t>
      </w:r>
    </w:p>
    <w:p>
      <w:pPr>
        <w:widowControl w:val="0"/>
        <w:pBdr>
          <w:top w:val="dotted" w:sz="4" w:space="0" w:color="FFFFFF"/>
          <w:left w:val="dotted" w:sz="4" w:space="0" w:color="FFFFFF"/>
          <w:bottom w:val="dotted" w:sz="4" w:space="13" w:color="FFFFFF"/>
          <w:right w:val="dotted" w:sz="4" w:space="1" w:color="FFFFFF"/>
        </w:pBdr>
        <w:shd w:val="clear" w:color="auto" w:fill="FFFFFF"/>
        <w:spacing w:before="120" w:after="120" w:line="276" w:lineRule="auto"/>
        <w:ind w:firstLine="720"/>
        <w:jc w:val="both"/>
        <w:rPr>
          <w:szCs w:val="28"/>
        </w:rPr>
      </w:pPr>
      <w:r>
        <w:rPr>
          <w:szCs w:val="28"/>
        </w:rPr>
        <w:t>- Ngân sách xã: 3.435,893 tỷ đồng</w:t>
      </w:r>
    </w:p>
    <w:p>
      <w:pPr>
        <w:widowControl w:val="0"/>
        <w:pBdr>
          <w:top w:val="dotted" w:sz="4" w:space="0" w:color="FFFFFF"/>
          <w:left w:val="dotted" w:sz="4" w:space="0" w:color="FFFFFF"/>
          <w:bottom w:val="dotted" w:sz="4" w:space="13" w:color="FFFFFF"/>
          <w:right w:val="dotted" w:sz="4" w:space="1" w:color="FFFFFF"/>
        </w:pBdr>
        <w:shd w:val="clear" w:color="auto" w:fill="FFFFFF"/>
        <w:spacing w:before="120" w:after="120" w:line="276" w:lineRule="auto"/>
        <w:ind w:firstLine="720"/>
        <w:jc w:val="both"/>
        <w:rPr>
          <w:szCs w:val="28"/>
        </w:rPr>
      </w:pPr>
      <w:r>
        <w:rPr>
          <w:szCs w:val="28"/>
        </w:rPr>
        <w:t>3. Vốn lồng ghép: 5.127 tỷ đồng.</w:t>
      </w:r>
    </w:p>
    <w:p>
      <w:pPr>
        <w:widowControl w:val="0"/>
        <w:pBdr>
          <w:top w:val="dotted" w:sz="4" w:space="0" w:color="FFFFFF"/>
          <w:left w:val="dotted" w:sz="4" w:space="0" w:color="FFFFFF"/>
          <w:bottom w:val="dotted" w:sz="4" w:space="13" w:color="FFFFFF"/>
          <w:right w:val="dotted" w:sz="4" w:space="1" w:color="FFFFFF"/>
        </w:pBdr>
        <w:shd w:val="clear" w:color="auto" w:fill="FFFFFF"/>
        <w:spacing w:before="120" w:after="120" w:line="276" w:lineRule="auto"/>
        <w:ind w:firstLine="720"/>
        <w:jc w:val="both"/>
        <w:rPr>
          <w:szCs w:val="28"/>
        </w:rPr>
      </w:pPr>
      <w:r>
        <w:rPr>
          <w:szCs w:val="28"/>
        </w:rPr>
        <w:t>4. Vốn tín dụng: 5.842 tỷ đồng.</w:t>
      </w:r>
    </w:p>
    <w:p>
      <w:pPr>
        <w:widowControl w:val="0"/>
        <w:pBdr>
          <w:top w:val="dotted" w:sz="4" w:space="0" w:color="FFFFFF"/>
          <w:left w:val="dotted" w:sz="4" w:space="0" w:color="FFFFFF"/>
          <w:bottom w:val="dotted" w:sz="4" w:space="13" w:color="FFFFFF"/>
          <w:right w:val="dotted" w:sz="4" w:space="1" w:color="FFFFFF"/>
        </w:pBdr>
        <w:shd w:val="clear" w:color="auto" w:fill="FFFFFF"/>
        <w:spacing w:before="120" w:after="120" w:line="276" w:lineRule="auto"/>
        <w:ind w:firstLine="720"/>
        <w:jc w:val="both"/>
        <w:rPr>
          <w:szCs w:val="28"/>
        </w:rPr>
      </w:pPr>
      <w:r>
        <w:rPr>
          <w:szCs w:val="28"/>
        </w:rPr>
        <w:t>5. Vốn doanh nghiệp và huy động từ cộng đồng: 5.777 tỷ đồng.</w:t>
      </w:r>
    </w:p>
    <w:p>
      <w:pPr>
        <w:widowControl w:val="0"/>
        <w:pBdr>
          <w:top w:val="dotted" w:sz="4" w:space="0" w:color="FFFFFF"/>
          <w:left w:val="dotted" w:sz="4" w:space="0" w:color="FFFFFF"/>
          <w:bottom w:val="dotted" w:sz="4" w:space="13" w:color="FFFFFF"/>
          <w:right w:val="dotted" w:sz="4" w:space="1" w:color="FFFFFF"/>
        </w:pBdr>
        <w:shd w:val="clear" w:color="auto" w:fill="FFFFFF"/>
        <w:spacing w:before="120" w:after="120" w:line="276" w:lineRule="auto"/>
        <w:ind w:firstLine="720"/>
        <w:jc w:val="both"/>
        <w:rPr>
          <w:rFonts w:eastAsia="Times New Roman" w:cs="Times New Roman"/>
          <w:bCs/>
          <w:i/>
          <w:szCs w:val="28"/>
        </w:rPr>
      </w:pPr>
      <w:r>
        <w:rPr>
          <w:rFonts w:eastAsia="Times New Roman" w:cs="Times New Roman"/>
          <w:bCs/>
          <w:i/>
          <w:szCs w:val="28"/>
          <w:u w:val="single"/>
        </w:rPr>
        <w:t>Cơ sở đề xuất:</w:t>
      </w:r>
      <w:r>
        <w:rPr>
          <w:rFonts w:eastAsia="Times New Roman" w:cs="Times New Roman"/>
          <w:bCs/>
          <w:i/>
          <w:szCs w:val="28"/>
        </w:rPr>
        <w:t xml:space="preserve"> </w:t>
      </w:r>
    </w:p>
    <w:p>
      <w:pPr>
        <w:widowControl w:val="0"/>
        <w:pBdr>
          <w:top w:val="dotted" w:sz="4" w:space="0" w:color="FFFFFF"/>
          <w:left w:val="dotted" w:sz="4" w:space="0" w:color="FFFFFF"/>
          <w:bottom w:val="dotted" w:sz="4" w:space="13" w:color="FFFFFF"/>
          <w:right w:val="dotted" w:sz="4" w:space="1" w:color="FFFFFF"/>
        </w:pBdr>
        <w:shd w:val="clear" w:color="auto" w:fill="FFFFFF"/>
        <w:spacing w:before="120" w:after="120" w:line="276" w:lineRule="auto"/>
        <w:ind w:firstLine="720"/>
        <w:jc w:val="both"/>
        <w:rPr>
          <w:bCs/>
          <w:i/>
          <w:szCs w:val="28"/>
        </w:rPr>
      </w:pPr>
      <w:r>
        <w:rPr>
          <w:bCs/>
          <w:i/>
          <w:szCs w:val="28"/>
        </w:rPr>
        <w:lastRenderedPageBreak/>
        <w:t xml:space="preserve">Theo dự kiến của Trung ương, vốn địa phương (Thanh Hóa) đối ứng tối thiểu 125% (tương ứng 1,25 lần) so với số vốn ngân sách Trung ương hỗ trợ tỉnh giai đoạn 2026-2030. </w:t>
      </w:r>
    </w:p>
    <w:p>
      <w:pPr>
        <w:widowControl w:val="0"/>
        <w:pBdr>
          <w:top w:val="dotted" w:sz="4" w:space="0" w:color="FFFFFF"/>
          <w:left w:val="dotted" w:sz="4" w:space="0" w:color="FFFFFF"/>
          <w:bottom w:val="dotted" w:sz="4" w:space="13" w:color="FFFFFF"/>
          <w:right w:val="dotted" w:sz="4" w:space="1" w:color="FFFFFF"/>
        </w:pBdr>
        <w:shd w:val="clear" w:color="auto" w:fill="FFFFFF"/>
        <w:spacing w:before="120" w:after="120" w:line="276" w:lineRule="auto"/>
        <w:ind w:firstLine="720"/>
        <w:jc w:val="both"/>
        <w:rPr>
          <w:bCs/>
          <w:i/>
          <w:szCs w:val="28"/>
        </w:rPr>
      </w:pPr>
      <w:r>
        <w:rPr>
          <w:bCs/>
          <w:i/>
          <w:szCs w:val="28"/>
        </w:rPr>
        <w:t xml:space="preserve">Tính toán vốn đối ứng ngân sách tỉnh chiếm khoảng 50%, theo đó, các xã còn lại (69 xã) phải bố trí vốn đối ứng 50% còn lại, tương ứng tối thiểu gấp 2 lần số vốn ngân sách trung ương hỗ trợ thì sẽ đảm bảo tổng vốn đối ứng ngân sách địa phương (tỉnh, xã) theo quy định. </w:t>
      </w:r>
    </w:p>
    <w:p>
      <w:pPr>
        <w:widowControl w:val="0"/>
        <w:pBdr>
          <w:top w:val="dotted" w:sz="4" w:space="0" w:color="FFFFFF"/>
          <w:left w:val="dotted" w:sz="4" w:space="0" w:color="FFFFFF"/>
          <w:bottom w:val="dotted" w:sz="4" w:space="13" w:color="FFFFFF"/>
          <w:right w:val="dotted" w:sz="4" w:space="1" w:color="FFFFFF"/>
        </w:pBdr>
        <w:shd w:val="clear" w:color="auto" w:fill="FFFFFF"/>
        <w:spacing w:before="120" w:after="120" w:line="276" w:lineRule="auto"/>
        <w:ind w:firstLine="720"/>
        <w:jc w:val="both"/>
        <w:rPr>
          <w:bCs/>
          <w:i/>
          <w:szCs w:val="28"/>
        </w:rPr>
      </w:pPr>
      <w:r>
        <w:rPr>
          <w:bCs/>
          <w:i/>
          <w:szCs w:val="28"/>
        </w:rPr>
        <w:t>Phần vốn lồng ghép, vốn tín dụng và vốn doanh nghiệp và huy động từ cộng đồng được tổng hợp trên cơ sở dự kiến nhu cầu nguồn lực của các địa phương.</w:t>
      </w:r>
      <w:bookmarkEnd w:id="13"/>
    </w:p>
    <w:sectPr>
      <w:headerReference w:type="default" r:id="rId14"/>
      <w:footerReference w:type="even" r:id="rId15"/>
      <w:footerReference w:type="default" r:id="rId16"/>
      <w:pgSz w:w="11907" w:h="16840" w:code="9"/>
      <w:pgMar w:top="1134" w:right="1134" w:bottom="1134" w:left="1701" w:header="454" w:footer="45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jc w:val="cen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FootnoteText"/>
        <w:jc w:val="both"/>
      </w:pPr>
      <w:r>
        <w:rPr>
          <w:rStyle w:val="FootnoteReference"/>
        </w:rPr>
        <w:footnoteRef/>
      </w:r>
      <w:r>
        <w:t xml:space="preserve"> Đến thời điểm 30/5/2026, căn cứ xác định số liệu về số thôn đặc biệt khó khăn vùng đồng bào DTTS&amp;MN, số lượng xã và loại xã: Theo quy định tại điểm a, b, c, d tại khoản 4 Điều 4 </w:t>
      </w:r>
      <w:r>
        <w:rPr>
          <w:szCs w:val="28"/>
        </w:rPr>
        <w:t>Quyết định số </w:t>
      </w:r>
      <w:hyperlink r:id="rId1" w:tgtFrame="_blank" w:tooltip="Quyết định 07/2022/QĐ-TTg" w:history="1">
        <w:r>
          <w:t>16/2026/QĐ-TTg</w:t>
        </w:r>
      </w:hyperlink>
      <w:r>
        <w:rPr>
          <w:szCs w:val="28"/>
        </w:rPr>
        <w:t> ngày 15/4/2026 của Thủ tướng Chính phủ và của cấp có thẩm quyền.</w:t>
      </w:r>
    </w:p>
  </w:footnote>
  <w:footnote w:id="2">
    <w:p>
      <w:pPr>
        <w:pStyle w:val="FootnoteText"/>
        <w:jc w:val="both"/>
      </w:pPr>
      <w:r>
        <w:rPr>
          <w:rStyle w:val="FootnoteReference"/>
        </w:rPr>
        <w:footnoteRef/>
      </w:r>
      <w:r>
        <w:t xml:space="preserve"> Đến thời điểm 30/5/2026, căn cứ xác định số liệu về số lượng xã và loại xã: Theo quy định tại điểm a, b, tại khoản 4 Điều 4 </w:t>
      </w:r>
      <w:r>
        <w:rPr>
          <w:szCs w:val="28"/>
        </w:rPr>
        <w:t>Quyết định số </w:t>
      </w:r>
      <w:hyperlink r:id="rId2" w:tgtFrame="_blank" w:tooltip="Quyết định 07/2022/QĐ-TTg" w:history="1">
        <w:r>
          <w:t>16/2026/QĐ-TTg</w:t>
        </w:r>
      </w:hyperlink>
      <w:r>
        <w:rPr>
          <w:szCs w:val="28"/>
        </w:rPr>
        <w:t> ngày 15/4/2026 của Thủ tướng Chính phủ và của cấp có thẩm quyền</w:t>
      </w:r>
    </w:p>
  </w:footnote>
  <w:footnote w:id="3">
    <w:p>
      <w:pPr>
        <w:pStyle w:val="FootnoteText"/>
        <w:jc w:val="both"/>
      </w:pPr>
      <w:r>
        <w:rPr>
          <w:rStyle w:val="FootnoteReference"/>
        </w:rPr>
        <w:footnoteRef/>
      </w:r>
      <w:r>
        <w:t xml:space="preserve"> Doanh nghiệp, hợp tác xã, Tổ hợp tác, hộ gia đình, trang trại và Trung tâm điều hành (dịch vụ du lịch cộng đồng, du lịch sinh thái và điểm du lịch)</w:t>
      </w:r>
    </w:p>
  </w:footnote>
  <w:footnote w:id="4">
    <w:p>
      <w:pPr>
        <w:pStyle w:val="FootnoteText"/>
        <w:jc w:val="both"/>
      </w:pPr>
      <w:r>
        <w:rPr>
          <w:rStyle w:val="FootnoteReference"/>
        </w:rPr>
        <w:footnoteRef/>
      </w:r>
      <w:r>
        <w:t xml:space="preserve"> </w:t>
      </w:r>
      <w:r>
        <w:rPr>
          <w:bCs/>
          <w:iCs/>
          <w:szCs w:val="28"/>
        </w:rPr>
        <w:t>Công văn số 4341/BNNMT-VPĐP ngày 04/5/2026 của Bộ Nông nghiệp và Môi trường về việc cho ý kiến về phương án phân bổ ngân sách trung ương và tỷ lệ đối ứng ngân sách của địa phương thực hiện Chương trình MTQG xây dựng nông thôn mới, giảm nghèo bền vững và phát triển KTXH vùng đồng bào DTTS&amp;MN giai đoạn 2026-2030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jc w:val="center"/>
    </w:pPr>
    <w:r>
      <w:fldChar w:fldCharType="begin"/>
    </w:r>
    <w:r>
      <w:instrText xml:space="preserve"> PAGE   \* MERGEFORMAT </w:instrText>
    </w:r>
    <w:r>
      <w:fldChar w:fldCharType="separate"/>
    </w:r>
    <w:r>
      <w:rPr>
        <w:noProof/>
      </w:rPr>
      <w:t>5</w:t>
    </w:r>
    <w:r>
      <w:rPr>
        <w:noProof/>
      </w:rPr>
      <w:fldChar w:fldCharType="end"/>
    </w:r>
  </w:p>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A5051"/>
    <w:multiLevelType w:val="multilevel"/>
    <w:tmpl w:val="EFF4F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D24718"/>
    <w:multiLevelType w:val="multilevel"/>
    <w:tmpl w:val="36860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5312462"/>
    <w:multiLevelType w:val="multilevel"/>
    <w:tmpl w:val="DEFAD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940AFF"/>
    <w:multiLevelType w:val="hybridMultilevel"/>
    <w:tmpl w:val="E6CA71A0"/>
    <w:lvl w:ilvl="0" w:tplc="C12C55CC">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71620F52"/>
    <w:multiLevelType w:val="hybridMultilevel"/>
    <w:tmpl w:val="B510AF50"/>
    <w:lvl w:ilvl="0" w:tplc="9E9418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47C1256"/>
    <w:multiLevelType w:val="multilevel"/>
    <w:tmpl w:val="5DDC4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87875F1"/>
    <w:multiLevelType w:val="multilevel"/>
    <w:tmpl w:val="FE56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6"/>
  </w:num>
  <w:num w:numId="4">
    <w:abstractNumId w:val="5"/>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revisionView w:inkAnnotation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8236B5A-ACAB-4EDE-B7A2-00F38E227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pPr>
      <w:keepNext/>
      <w:keepLines/>
      <w:spacing w:before="40" w:after="0" w:line="240"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pPr>
      <w:keepNext/>
      <w:spacing w:before="240" w:after="60" w:line="240" w:lineRule="auto"/>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NormalWeb">
    <w:name w:val="Normal (Web)"/>
    <w:aliases w:val="Обычный (веб)1,Обычный (веб) Знак,Обычный (веб) Знак1,Обычный (веб) Знак Знак,Char Char Char, Char Char Char"/>
    <w:basedOn w:val="Normal"/>
    <w:link w:val="NormalWebChar"/>
    <w:uiPriority w:val="99"/>
    <w:unhideWhenUsed/>
    <w:qFormat/>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w:link w:val="NormalWeb"/>
    <w:uiPriority w:val="99"/>
    <w:locked/>
    <w:rPr>
      <w:rFonts w:eastAsia="Times New Roman" w:cs="Times New Roman"/>
      <w:sz w:val="24"/>
      <w:szCs w:val="24"/>
    </w:rPr>
  </w:style>
  <w:style w:type="paragraph" w:styleId="FootnoteText">
    <w:name w:val="footnote text"/>
    <w:basedOn w:val="Normal"/>
    <w:link w:val="FootnoteTextChar"/>
    <w:uiPriority w:val="99"/>
    <w:unhideWhenUsed/>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rPr>
      <w:rFonts w:eastAsia="Times New Roman" w:cs="Times New Roman"/>
      <w:sz w:val="20"/>
      <w:szCs w:val="20"/>
    </w:rPr>
  </w:style>
  <w:style w:type="character" w:styleId="FootnoteReference">
    <w:name w:val="footnote reference"/>
    <w:aliases w:val="Footnote,Footnote text,ftref,BearingPoint,16 Point,Superscript 6 Point,fr,Footnote Text1,Ref,de nota al pie,Footnote + Arial,10 pt,Black,Footnote Text11,BVI fnr, BVI fnr,Footnote Reference 2,f1"/>
    <w:basedOn w:val="DefaultParagraphFont"/>
    <w:uiPriority w:val="99"/>
    <w:unhideWhenUsed/>
    <w:rPr>
      <w:vertAlign w:val="superscript"/>
    </w:rPr>
  </w:style>
  <w:style w:type="character" w:styleId="Hyperlink">
    <w:name w:val="Hyperlink"/>
    <w:basedOn w:val="DefaultParagraphFont"/>
    <w:uiPriority w:val="99"/>
    <w:semiHidden/>
    <w:unhideWhenUsed/>
    <w:rPr>
      <w:color w:val="0563C1"/>
      <w:u w:val="single"/>
    </w:rPr>
  </w:style>
  <w:style w:type="character" w:styleId="FollowedHyperlink">
    <w:name w:val="FollowedHyperlink"/>
    <w:basedOn w:val="DefaultParagraphFont"/>
    <w:uiPriority w:val="99"/>
    <w:semiHidden/>
    <w:unhideWhenUsed/>
    <w:rPr>
      <w:color w:val="954F72"/>
      <w:u w:val="single"/>
    </w:rPr>
  </w:style>
  <w:style w:type="paragraph" w:customStyle="1" w:styleId="msonormal0">
    <w:name w:val="msonormal"/>
    <w:basedOn w:val="Normal"/>
    <w:pPr>
      <w:spacing w:before="100" w:beforeAutospacing="1" w:after="100" w:afterAutospacing="1" w:line="240" w:lineRule="auto"/>
    </w:pPr>
    <w:rPr>
      <w:rFonts w:eastAsia="Times New Roman" w:cs="Times New Roman"/>
      <w:sz w:val="24"/>
      <w:szCs w:val="24"/>
    </w:rPr>
  </w:style>
  <w:style w:type="paragraph" w:customStyle="1" w:styleId="font5">
    <w:name w:val="font5"/>
    <w:basedOn w:val="Normal"/>
    <w:pPr>
      <w:spacing w:before="100" w:beforeAutospacing="1" w:after="100" w:afterAutospacing="1" w:line="240" w:lineRule="auto"/>
    </w:pPr>
    <w:rPr>
      <w:rFonts w:eastAsia="Times New Roman" w:cs="Times New Roman"/>
      <w:b/>
      <w:bCs/>
      <w:sz w:val="23"/>
      <w:szCs w:val="23"/>
    </w:rPr>
  </w:style>
  <w:style w:type="paragraph" w:customStyle="1" w:styleId="font6">
    <w:name w:val="font6"/>
    <w:basedOn w:val="Normal"/>
    <w:pPr>
      <w:spacing w:before="100" w:beforeAutospacing="1" w:after="100" w:afterAutospacing="1" w:line="240" w:lineRule="auto"/>
    </w:pPr>
    <w:rPr>
      <w:rFonts w:eastAsia="Times New Roman" w:cs="Times New Roman"/>
      <w:sz w:val="23"/>
      <w:szCs w:val="23"/>
    </w:rPr>
  </w:style>
  <w:style w:type="paragraph" w:customStyle="1" w:styleId="xl65">
    <w:name w:val="xl65"/>
    <w:basedOn w:val="Normal"/>
    <w:pPr>
      <w:spacing w:before="100" w:beforeAutospacing="1" w:after="100" w:afterAutospacing="1" w:line="240" w:lineRule="auto"/>
    </w:pPr>
    <w:rPr>
      <w:rFonts w:eastAsia="Times New Roman" w:cs="Times New Roman"/>
      <w:sz w:val="24"/>
      <w:szCs w:val="24"/>
    </w:rPr>
  </w:style>
  <w:style w:type="paragraph" w:customStyle="1" w:styleId="xl66">
    <w:name w:val="xl66"/>
    <w:basedOn w:val="Normal"/>
    <w:pPr>
      <w:spacing w:before="100" w:beforeAutospacing="1" w:after="100" w:afterAutospacing="1" w:line="240" w:lineRule="auto"/>
    </w:pPr>
    <w:rPr>
      <w:rFonts w:eastAsia="Times New Roman" w:cs="Times New Roman"/>
      <w:i/>
      <w:iCs/>
      <w:sz w:val="24"/>
      <w:szCs w:val="24"/>
    </w:rPr>
  </w:style>
  <w:style w:type="paragraph" w:customStyle="1" w:styleId="xl67">
    <w:name w:val="xl67"/>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68">
    <w:name w:val="xl68"/>
    <w:basedOn w:val="Normal"/>
    <w:pPr>
      <w:spacing w:before="100" w:beforeAutospacing="1" w:after="100" w:afterAutospacing="1" w:line="240" w:lineRule="auto"/>
      <w:jc w:val="center"/>
    </w:pPr>
    <w:rPr>
      <w:rFonts w:eastAsia="Times New Roman" w:cs="Times New Roman"/>
      <w:sz w:val="24"/>
      <w:szCs w:val="24"/>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70">
    <w:name w:val="xl70"/>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3"/>
      <w:szCs w:val="23"/>
    </w:rPr>
  </w:style>
  <w:style w:type="paragraph" w:customStyle="1" w:styleId="xl71">
    <w:name w:val="xl71"/>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3"/>
      <w:szCs w:val="23"/>
    </w:rPr>
  </w:style>
  <w:style w:type="paragraph" w:customStyle="1" w:styleId="xl72">
    <w:name w:val="xl72"/>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3"/>
      <w:szCs w:val="23"/>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3"/>
      <w:szCs w:val="23"/>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3"/>
      <w:szCs w:val="23"/>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3"/>
      <w:szCs w:val="23"/>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3"/>
      <w:szCs w:val="23"/>
    </w:rPr>
  </w:style>
  <w:style w:type="paragraph" w:customStyle="1" w:styleId="xl77">
    <w:name w:val="xl77"/>
    <w:basedOn w:val="Normal"/>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3"/>
      <w:szCs w:val="23"/>
    </w:rPr>
  </w:style>
  <w:style w:type="paragraph" w:customStyle="1" w:styleId="xl78">
    <w:name w:val="xl78"/>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3"/>
      <w:szCs w:val="23"/>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3"/>
      <w:szCs w:val="23"/>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 w:val="23"/>
      <w:szCs w:val="23"/>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3"/>
      <w:szCs w:val="23"/>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3"/>
      <w:szCs w:val="23"/>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FF0000"/>
      <w:sz w:val="23"/>
      <w:szCs w:val="23"/>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3"/>
      <w:szCs w:val="23"/>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FF0000"/>
      <w:sz w:val="23"/>
      <w:szCs w:val="23"/>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3"/>
      <w:szCs w:val="23"/>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i/>
      <w:iCs/>
      <w:sz w:val="23"/>
      <w:szCs w:val="23"/>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3"/>
      <w:szCs w:val="23"/>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3"/>
      <w:szCs w:val="23"/>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3"/>
      <w:szCs w:val="23"/>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3"/>
      <w:szCs w:val="23"/>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3"/>
      <w:szCs w:val="23"/>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3"/>
      <w:szCs w:val="23"/>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FF0000"/>
      <w:sz w:val="23"/>
      <w:szCs w:val="23"/>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3"/>
      <w:szCs w:val="23"/>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3"/>
      <w:szCs w:val="23"/>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i/>
      <w:iCs/>
      <w:sz w:val="23"/>
      <w:szCs w:val="23"/>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3"/>
      <w:szCs w:val="23"/>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3"/>
      <w:szCs w:val="23"/>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3"/>
      <w:szCs w:val="23"/>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color w:val="FF0000"/>
      <w:sz w:val="23"/>
      <w:szCs w:val="23"/>
    </w:rPr>
  </w:style>
  <w:style w:type="paragraph" w:customStyle="1" w:styleId="xl102">
    <w:name w:val="xl102"/>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3"/>
      <w:szCs w:val="23"/>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3"/>
      <w:szCs w:val="23"/>
    </w:rPr>
  </w:style>
  <w:style w:type="paragraph" w:customStyle="1" w:styleId="xl104">
    <w:name w:val="xl10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3"/>
      <w:szCs w:val="23"/>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3"/>
      <w:szCs w:val="23"/>
    </w:rPr>
  </w:style>
  <w:style w:type="paragraph" w:customStyle="1" w:styleId="xl106">
    <w:name w:val="xl10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3"/>
      <w:szCs w:val="23"/>
    </w:rPr>
  </w:style>
  <w:style w:type="paragraph" w:customStyle="1" w:styleId="xl107">
    <w:name w:val="xl10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3"/>
      <w:szCs w:val="23"/>
    </w:rPr>
  </w:style>
  <w:style w:type="paragraph" w:customStyle="1" w:styleId="xl108">
    <w:name w:val="xl10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3"/>
      <w:szCs w:val="23"/>
    </w:rPr>
  </w:style>
  <w:style w:type="paragraph" w:customStyle="1" w:styleId="xl109">
    <w:name w:val="xl10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3"/>
      <w:szCs w:val="23"/>
    </w:rPr>
  </w:style>
  <w:style w:type="paragraph" w:customStyle="1" w:styleId="xl110">
    <w:name w:val="xl11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color w:val="FF0000"/>
      <w:sz w:val="23"/>
      <w:szCs w:val="23"/>
    </w:rPr>
  </w:style>
  <w:style w:type="paragraph" w:customStyle="1" w:styleId="xl111">
    <w:name w:val="xl1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3"/>
      <w:szCs w:val="23"/>
    </w:rPr>
  </w:style>
  <w:style w:type="paragraph" w:customStyle="1" w:styleId="xl112">
    <w:name w:val="xl11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3"/>
      <w:szCs w:val="23"/>
    </w:rPr>
  </w:style>
  <w:style w:type="paragraph" w:customStyle="1" w:styleId="xl113">
    <w:name w:val="xl1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i/>
      <w:iCs/>
      <w:sz w:val="23"/>
      <w:szCs w:val="23"/>
    </w:rPr>
  </w:style>
  <w:style w:type="paragraph" w:customStyle="1" w:styleId="xl114">
    <w:name w:val="xl1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3"/>
      <w:szCs w:val="23"/>
    </w:rPr>
  </w:style>
  <w:style w:type="paragraph" w:customStyle="1" w:styleId="xl115">
    <w:name w:val="xl11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3"/>
      <w:szCs w:val="23"/>
    </w:rPr>
  </w:style>
  <w:style w:type="paragraph" w:customStyle="1" w:styleId="xl116">
    <w:name w:val="xl11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3"/>
      <w:szCs w:val="23"/>
    </w:rPr>
  </w:style>
  <w:style w:type="paragraph" w:customStyle="1" w:styleId="xl117">
    <w:name w:val="xl11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i/>
      <w:iCs/>
      <w:sz w:val="23"/>
      <w:szCs w:val="23"/>
    </w:rPr>
  </w:style>
  <w:style w:type="paragraph" w:customStyle="1" w:styleId="xl118">
    <w:name w:val="xl11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i/>
      <w:iCs/>
      <w:sz w:val="23"/>
      <w:szCs w:val="23"/>
    </w:rPr>
  </w:style>
  <w:style w:type="paragraph" w:customStyle="1" w:styleId="xl119">
    <w:name w:val="xl119"/>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3"/>
      <w:szCs w:val="23"/>
    </w:rPr>
  </w:style>
  <w:style w:type="paragraph" w:customStyle="1" w:styleId="xl120">
    <w:name w:val="xl12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3"/>
      <w:szCs w:val="23"/>
    </w:rPr>
  </w:style>
  <w:style w:type="paragraph" w:customStyle="1" w:styleId="xl121">
    <w:name w:val="xl12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3"/>
      <w:szCs w:val="23"/>
    </w:rPr>
  </w:style>
  <w:style w:type="paragraph" w:customStyle="1" w:styleId="xl122">
    <w:name w:val="xl12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3"/>
      <w:szCs w:val="23"/>
    </w:rPr>
  </w:style>
  <w:style w:type="paragraph" w:customStyle="1" w:styleId="xl123">
    <w:name w:val="xl123"/>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i/>
      <w:iCs/>
      <w:sz w:val="23"/>
      <w:szCs w:val="23"/>
    </w:rPr>
  </w:style>
  <w:style w:type="paragraph" w:customStyle="1" w:styleId="xl124">
    <w:name w:val="xl12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3"/>
      <w:szCs w:val="23"/>
    </w:rPr>
  </w:style>
  <w:style w:type="paragraph" w:customStyle="1" w:styleId="xl125">
    <w:name w:val="xl12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3"/>
      <w:szCs w:val="23"/>
    </w:rPr>
  </w:style>
  <w:style w:type="paragraph" w:customStyle="1" w:styleId="xl126">
    <w:name w:val="xl12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i/>
      <w:iCs/>
      <w:sz w:val="23"/>
      <w:szCs w:val="23"/>
    </w:rPr>
  </w:style>
  <w:style w:type="paragraph" w:customStyle="1" w:styleId="xl127">
    <w:name w:val="xl12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3"/>
      <w:szCs w:val="23"/>
    </w:rPr>
  </w:style>
  <w:style w:type="paragraph" w:customStyle="1" w:styleId="xl128">
    <w:name w:val="xl12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3"/>
      <w:szCs w:val="23"/>
    </w:rPr>
  </w:style>
  <w:style w:type="paragraph" w:customStyle="1" w:styleId="xl129">
    <w:name w:val="xl12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3"/>
      <w:szCs w:val="23"/>
    </w:rPr>
  </w:style>
  <w:style w:type="paragraph" w:customStyle="1" w:styleId="xl130">
    <w:name w:val="xl13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3"/>
      <w:szCs w:val="23"/>
    </w:rPr>
  </w:style>
  <w:style w:type="paragraph" w:customStyle="1" w:styleId="xl131">
    <w:name w:val="xl13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3"/>
      <w:szCs w:val="23"/>
    </w:rPr>
  </w:style>
  <w:style w:type="paragraph" w:customStyle="1" w:styleId="xl132">
    <w:name w:val="xl13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3"/>
      <w:szCs w:val="23"/>
    </w:rPr>
  </w:style>
  <w:style w:type="paragraph" w:customStyle="1" w:styleId="xl133">
    <w:name w:val="xl13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3"/>
      <w:szCs w:val="23"/>
    </w:rPr>
  </w:style>
  <w:style w:type="paragraph" w:customStyle="1" w:styleId="xl134">
    <w:name w:val="xl13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i/>
      <w:iCs/>
      <w:sz w:val="23"/>
      <w:szCs w:val="23"/>
    </w:rPr>
  </w:style>
  <w:style w:type="paragraph" w:customStyle="1" w:styleId="xl135">
    <w:name w:val="xl13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3"/>
      <w:szCs w:val="23"/>
    </w:rPr>
  </w:style>
  <w:style w:type="paragraph" w:customStyle="1" w:styleId="xl136">
    <w:name w:val="xl13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3"/>
      <w:szCs w:val="23"/>
    </w:rPr>
  </w:style>
  <w:style w:type="paragraph" w:customStyle="1" w:styleId="xl137">
    <w:name w:val="xl13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3"/>
      <w:szCs w:val="23"/>
    </w:rPr>
  </w:style>
  <w:style w:type="paragraph" w:customStyle="1" w:styleId="xl138">
    <w:name w:val="xl13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3"/>
      <w:szCs w:val="23"/>
    </w:rPr>
  </w:style>
  <w:style w:type="paragraph" w:customStyle="1" w:styleId="xl139">
    <w:name w:val="xl13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3"/>
      <w:szCs w:val="23"/>
    </w:rPr>
  </w:style>
  <w:style w:type="paragraph" w:customStyle="1" w:styleId="xl140">
    <w:name w:val="xl14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3"/>
      <w:szCs w:val="23"/>
    </w:rPr>
  </w:style>
  <w:style w:type="paragraph" w:customStyle="1" w:styleId="xl141">
    <w:name w:val="xl14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3"/>
      <w:szCs w:val="23"/>
    </w:rPr>
  </w:style>
  <w:style w:type="paragraph" w:customStyle="1" w:styleId="xl142">
    <w:name w:val="xl14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3"/>
      <w:szCs w:val="23"/>
    </w:rPr>
  </w:style>
  <w:style w:type="paragraph" w:customStyle="1" w:styleId="xl143">
    <w:name w:val="xl14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i/>
      <w:iCs/>
      <w:sz w:val="23"/>
      <w:szCs w:val="23"/>
    </w:rPr>
  </w:style>
  <w:style w:type="paragraph" w:customStyle="1" w:styleId="xl144">
    <w:name w:val="xl14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3"/>
      <w:szCs w:val="23"/>
    </w:rPr>
  </w:style>
  <w:style w:type="paragraph" w:customStyle="1" w:styleId="xl145">
    <w:name w:val="xl14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i/>
      <w:iCs/>
      <w:sz w:val="23"/>
      <w:szCs w:val="23"/>
    </w:rPr>
  </w:style>
  <w:style w:type="paragraph" w:customStyle="1" w:styleId="xl146">
    <w:name w:val="xl14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3"/>
      <w:szCs w:val="23"/>
    </w:rPr>
  </w:style>
  <w:style w:type="paragraph" w:customStyle="1" w:styleId="xl147">
    <w:name w:val="xl147"/>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3"/>
      <w:szCs w:val="23"/>
    </w:rPr>
  </w:style>
  <w:style w:type="paragraph" w:customStyle="1" w:styleId="xl148">
    <w:name w:val="xl148"/>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3"/>
      <w:szCs w:val="23"/>
    </w:rPr>
  </w:style>
  <w:style w:type="paragraph" w:customStyle="1" w:styleId="xl149">
    <w:name w:val="xl14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3"/>
      <w:szCs w:val="23"/>
    </w:rPr>
  </w:style>
  <w:style w:type="paragraph" w:customStyle="1" w:styleId="xl150">
    <w:name w:val="xl15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151">
    <w:name w:val="xl15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i/>
      <w:iCs/>
      <w:sz w:val="24"/>
      <w:szCs w:val="24"/>
    </w:rPr>
  </w:style>
  <w:style w:type="paragraph" w:customStyle="1" w:styleId="xl152">
    <w:name w:val="xl15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3"/>
      <w:szCs w:val="23"/>
    </w:rPr>
  </w:style>
  <w:style w:type="paragraph" w:customStyle="1" w:styleId="xl153">
    <w:name w:val="xl15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3"/>
      <w:szCs w:val="23"/>
    </w:rPr>
  </w:style>
  <w:style w:type="paragraph" w:customStyle="1" w:styleId="xl154">
    <w:name w:val="xl154"/>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3"/>
      <w:szCs w:val="23"/>
    </w:rPr>
  </w:style>
  <w:style w:type="paragraph" w:customStyle="1" w:styleId="xl155">
    <w:name w:val="xl155"/>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3"/>
      <w:szCs w:val="23"/>
    </w:rPr>
  </w:style>
  <w:style w:type="paragraph" w:customStyle="1" w:styleId="xl156">
    <w:name w:val="xl156"/>
    <w:basedOn w:val="Normal"/>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3"/>
      <w:szCs w:val="23"/>
    </w:rPr>
  </w:style>
  <w:style w:type="paragraph" w:customStyle="1" w:styleId="xl157">
    <w:name w:val="xl157"/>
    <w:basedOn w:val="Normal"/>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3"/>
      <w:szCs w:val="23"/>
    </w:rPr>
  </w:style>
  <w:style w:type="paragraph" w:customStyle="1" w:styleId="xl158">
    <w:name w:val="xl158"/>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3"/>
      <w:szCs w:val="23"/>
    </w:rPr>
  </w:style>
  <w:style w:type="paragraph" w:customStyle="1" w:styleId="xl159">
    <w:name w:val="xl159"/>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3"/>
      <w:szCs w:val="23"/>
    </w:rPr>
  </w:style>
  <w:style w:type="paragraph" w:customStyle="1" w:styleId="xl160">
    <w:name w:val="xl160"/>
    <w:basedOn w:val="Normal"/>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b/>
      <w:bCs/>
      <w:sz w:val="23"/>
      <w:szCs w:val="23"/>
    </w:rPr>
  </w:style>
  <w:style w:type="paragraph" w:customStyle="1" w:styleId="xl161">
    <w:name w:val="xl161"/>
    <w:basedOn w:val="Normal"/>
    <w:pPr>
      <w:pBdr>
        <w:top w:val="single" w:sz="4" w:space="0" w:color="auto"/>
      </w:pBdr>
      <w:spacing w:before="100" w:beforeAutospacing="1" w:after="100" w:afterAutospacing="1" w:line="240" w:lineRule="auto"/>
      <w:jc w:val="center"/>
      <w:textAlignment w:val="center"/>
    </w:pPr>
    <w:rPr>
      <w:rFonts w:eastAsia="Times New Roman" w:cs="Times New Roman"/>
      <w:b/>
      <w:bCs/>
      <w:sz w:val="23"/>
      <w:szCs w:val="23"/>
    </w:rPr>
  </w:style>
  <w:style w:type="paragraph" w:customStyle="1" w:styleId="xl162">
    <w:name w:val="xl162"/>
    <w:basedOn w:val="Normal"/>
    <w:pPr>
      <w:pBdr>
        <w:top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3"/>
      <w:szCs w:val="23"/>
    </w:rPr>
  </w:style>
  <w:style w:type="paragraph" w:customStyle="1" w:styleId="xl163">
    <w:name w:val="xl163"/>
    <w:basedOn w:val="Normal"/>
    <w:pPr>
      <w:pBdr>
        <w:right w:val="single" w:sz="4" w:space="0" w:color="auto"/>
      </w:pBdr>
      <w:spacing w:before="100" w:beforeAutospacing="1" w:after="100" w:afterAutospacing="1" w:line="240" w:lineRule="auto"/>
      <w:jc w:val="center"/>
      <w:textAlignment w:val="center"/>
    </w:pPr>
    <w:rPr>
      <w:rFonts w:eastAsia="Times New Roman" w:cs="Times New Roman"/>
      <w:b/>
      <w:bCs/>
      <w:sz w:val="23"/>
      <w:szCs w:val="23"/>
    </w:rPr>
  </w:style>
  <w:style w:type="paragraph" w:customStyle="1" w:styleId="xl164">
    <w:name w:val="xl164"/>
    <w:basedOn w:val="Normal"/>
    <w:pPr>
      <w:pBdr>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3"/>
      <w:szCs w:val="23"/>
    </w:rPr>
  </w:style>
  <w:style w:type="paragraph" w:customStyle="1" w:styleId="xl165">
    <w:name w:val="xl165"/>
    <w:basedOn w:val="Normal"/>
    <w:pPr>
      <w:pBdr>
        <w:bottom w:val="single" w:sz="4" w:space="0" w:color="auto"/>
      </w:pBdr>
      <w:spacing w:before="100" w:beforeAutospacing="1" w:after="100" w:afterAutospacing="1" w:line="240" w:lineRule="auto"/>
      <w:jc w:val="center"/>
      <w:textAlignment w:val="center"/>
    </w:pPr>
    <w:rPr>
      <w:rFonts w:eastAsia="Times New Roman" w:cs="Times New Roman"/>
      <w:b/>
      <w:bCs/>
      <w:sz w:val="23"/>
      <w:szCs w:val="23"/>
    </w:rPr>
  </w:style>
  <w:style w:type="paragraph" w:customStyle="1" w:styleId="xl166">
    <w:name w:val="xl166"/>
    <w:basedOn w:val="Normal"/>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3"/>
      <w:szCs w:val="23"/>
    </w:rPr>
  </w:style>
  <w:style w:type="paragraph" w:customStyle="1" w:styleId="xl167">
    <w:name w:val="xl167"/>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3"/>
      <w:szCs w:val="23"/>
    </w:rPr>
  </w:style>
  <w:style w:type="paragraph" w:customStyle="1" w:styleId="xl168">
    <w:name w:val="xl168"/>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3"/>
      <w:szCs w:val="23"/>
    </w:rPr>
  </w:style>
  <w:style w:type="paragraph" w:customStyle="1" w:styleId="xl169">
    <w:name w:val="xl169"/>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3"/>
      <w:szCs w:val="23"/>
    </w:rPr>
  </w:style>
  <w:style w:type="paragraph" w:customStyle="1" w:styleId="xl170">
    <w:name w:val="xl170"/>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3"/>
      <w:szCs w:val="23"/>
    </w:rPr>
  </w:style>
  <w:style w:type="paragraph" w:customStyle="1" w:styleId="xl171">
    <w:name w:val="xl171"/>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3"/>
      <w:szCs w:val="23"/>
    </w:rPr>
  </w:style>
  <w:style w:type="paragraph" w:customStyle="1" w:styleId="xl172">
    <w:name w:val="xl172"/>
    <w:basedOn w:val="Normal"/>
    <w:pPr>
      <w:pBdr>
        <w:left w:val="single" w:sz="4" w:space="0" w:color="auto"/>
      </w:pBdr>
      <w:spacing w:before="100" w:beforeAutospacing="1" w:after="100" w:afterAutospacing="1" w:line="240" w:lineRule="auto"/>
      <w:jc w:val="center"/>
      <w:textAlignment w:val="center"/>
    </w:pPr>
    <w:rPr>
      <w:rFonts w:eastAsia="Times New Roman" w:cs="Times New Roman"/>
      <w:b/>
      <w:bCs/>
      <w:sz w:val="23"/>
      <w:szCs w:val="23"/>
    </w:rPr>
  </w:style>
  <w:style w:type="paragraph" w:customStyle="1" w:styleId="xl173">
    <w:name w:val="xl173"/>
    <w:basedOn w:val="Normal"/>
    <w:pPr>
      <w:spacing w:before="100" w:beforeAutospacing="1" w:after="100" w:afterAutospacing="1" w:line="240" w:lineRule="auto"/>
      <w:jc w:val="center"/>
      <w:textAlignment w:val="center"/>
    </w:pPr>
    <w:rPr>
      <w:rFonts w:eastAsia="Times New Roman" w:cs="Times New Roman"/>
      <w:b/>
      <w:bCs/>
      <w:sz w:val="23"/>
      <w:szCs w:val="23"/>
    </w:rPr>
  </w:style>
  <w:style w:type="paragraph" w:customStyle="1" w:styleId="xl174">
    <w:name w:val="xl174"/>
    <w:basedOn w:val="Normal"/>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3"/>
      <w:szCs w:val="23"/>
    </w:rPr>
  </w:style>
  <w:style w:type="paragraph" w:customStyle="1" w:styleId="xl175">
    <w:name w:val="xl175"/>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3"/>
      <w:szCs w:val="23"/>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BodyTextChar">
    <w:name w:val="Body Text Char"/>
    <w:basedOn w:val="DefaultParagraphFont"/>
    <w:link w:val="BodyText"/>
    <w:rPr>
      <w:rFonts w:eastAsia="Times New Roman" w:cs="Times New Roman"/>
      <w:color w:val="232325"/>
      <w:shd w:val="clear" w:color="auto" w:fill="FFFFFF"/>
    </w:rPr>
  </w:style>
  <w:style w:type="paragraph" w:styleId="BodyText">
    <w:name w:val="Body Text"/>
    <w:basedOn w:val="Normal"/>
    <w:link w:val="BodyTextChar"/>
    <w:qFormat/>
    <w:pPr>
      <w:widowControl w:val="0"/>
      <w:shd w:val="clear" w:color="auto" w:fill="FFFFFF"/>
      <w:spacing w:after="40" w:line="295" w:lineRule="auto"/>
      <w:ind w:firstLine="400"/>
    </w:pPr>
    <w:rPr>
      <w:rFonts w:eastAsia="Times New Roman" w:cs="Times New Roman"/>
      <w:color w:val="232325"/>
    </w:rPr>
  </w:style>
  <w:style w:type="character" w:customStyle="1" w:styleId="BodyTextChar1">
    <w:name w:val="Body Text Char1"/>
    <w:basedOn w:val="DefaultParagraphFont"/>
    <w:uiPriority w:val="99"/>
    <w:semiHidden/>
  </w:style>
  <w:style w:type="paragraph" w:customStyle="1" w:styleId="xl176">
    <w:name w:val="xl1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rPr>
  </w:style>
  <w:style w:type="paragraph" w:customStyle="1" w:styleId="xl177">
    <w:name w:val="xl1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78">
    <w:name w:val="xl1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79">
    <w:name w:val="xl1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180">
    <w:name w:val="xl18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81">
    <w:name w:val="xl1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rPr>
  </w:style>
  <w:style w:type="paragraph" w:customStyle="1" w:styleId="xl182">
    <w:name w:val="xl1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rPr>
  </w:style>
  <w:style w:type="paragraph" w:customStyle="1" w:styleId="xl183">
    <w:name w:val="xl1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rPr>
  </w:style>
  <w:style w:type="paragraph" w:customStyle="1" w:styleId="xl184">
    <w:name w:val="xl1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i/>
      <w:iCs/>
      <w:sz w:val="24"/>
      <w:szCs w:val="24"/>
    </w:rPr>
  </w:style>
  <w:style w:type="paragraph" w:customStyle="1" w:styleId="xl185">
    <w:name w:val="xl1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rPr>
  </w:style>
  <w:style w:type="paragraph" w:customStyle="1" w:styleId="xl186">
    <w:name w:val="xl1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rPr>
  </w:style>
  <w:style w:type="paragraph" w:customStyle="1" w:styleId="xl187">
    <w:name w:val="xl1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188">
    <w:name w:val="xl1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i/>
      <w:iCs/>
      <w:sz w:val="24"/>
      <w:szCs w:val="24"/>
    </w:rPr>
  </w:style>
  <w:style w:type="paragraph" w:customStyle="1" w:styleId="xl189">
    <w:name w:val="xl18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rPr>
  </w:style>
  <w:style w:type="paragraph" w:customStyle="1" w:styleId="xl190">
    <w:name w:val="xl1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rPr>
  </w:style>
  <w:style w:type="paragraph" w:customStyle="1" w:styleId="xl191">
    <w:name w:val="xl19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rPr>
  </w:style>
  <w:style w:type="paragraph" w:customStyle="1" w:styleId="xl192">
    <w:name w:val="xl1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rPr>
  </w:style>
  <w:style w:type="paragraph" w:customStyle="1" w:styleId="xl193">
    <w:name w:val="xl1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rPr>
  </w:style>
  <w:style w:type="paragraph" w:customStyle="1" w:styleId="xl194">
    <w:name w:val="xl1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i/>
      <w:iCs/>
      <w:sz w:val="24"/>
      <w:szCs w:val="24"/>
    </w:rPr>
  </w:style>
  <w:style w:type="paragraph" w:customStyle="1" w:styleId="xl195">
    <w:name w:val="xl1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rPr>
  </w:style>
  <w:style w:type="paragraph" w:customStyle="1" w:styleId="xl196">
    <w:name w:val="xl19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rPr>
  </w:style>
  <w:style w:type="paragraph" w:customStyle="1" w:styleId="xl197">
    <w:name w:val="xl19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98">
    <w:name w:val="xl19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rPr>
  </w:style>
  <w:style w:type="paragraph" w:customStyle="1" w:styleId="xl199">
    <w:name w:val="xl19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rPr>
  </w:style>
  <w:style w:type="paragraph" w:customStyle="1" w:styleId="xl200">
    <w:name w:val="xl20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01">
    <w:name w:val="xl20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202">
    <w:name w:val="xl20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03">
    <w:name w:val="xl20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rPr>
  </w:style>
  <w:style w:type="paragraph" w:customStyle="1" w:styleId="xl204">
    <w:name w:val="xl20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rPr>
  </w:style>
  <w:style w:type="paragraph" w:customStyle="1" w:styleId="xl205">
    <w:name w:val="xl20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06">
    <w:name w:val="xl20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rPr>
  </w:style>
  <w:style w:type="paragraph" w:customStyle="1" w:styleId="xl207">
    <w:name w:val="xl20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208">
    <w:name w:val="xl20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09">
    <w:name w:val="xl20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 w:val="24"/>
      <w:szCs w:val="24"/>
    </w:rPr>
  </w:style>
  <w:style w:type="paragraph" w:customStyle="1" w:styleId="xl210">
    <w:name w:val="xl21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211">
    <w:name w:val="xl2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12">
    <w:name w:val="xl21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13">
    <w:name w:val="xl2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 w:val="24"/>
      <w:szCs w:val="24"/>
    </w:rPr>
  </w:style>
  <w:style w:type="paragraph" w:customStyle="1" w:styleId="xl214">
    <w:name w:val="xl2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215">
    <w:name w:val="xl21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16">
    <w:name w:val="xl21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rPr>
  </w:style>
  <w:style w:type="paragraph" w:customStyle="1" w:styleId="xl217">
    <w:name w:val="xl21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18">
    <w:name w:val="xl21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rPr>
  </w:style>
  <w:style w:type="paragraph" w:customStyle="1" w:styleId="xl219">
    <w:name w:val="xl21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20">
    <w:name w:val="xl22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21">
    <w:name w:val="xl22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rPr>
  </w:style>
  <w:style w:type="paragraph" w:customStyle="1" w:styleId="xl222">
    <w:name w:val="xl222"/>
    <w:basedOn w:val="Normal"/>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23">
    <w:name w:val="xl223"/>
    <w:basedOn w:val="Normal"/>
    <w:pPr>
      <w:pBdr>
        <w:top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24">
    <w:name w:val="xl224"/>
    <w:basedOn w:val="Normal"/>
    <w:pPr>
      <w:pBdr>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25">
    <w:name w:val="xl225"/>
    <w:basedOn w:val="Normal"/>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26">
    <w:name w:val="xl226"/>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27">
    <w:name w:val="xl227"/>
    <w:basedOn w:val="Normal"/>
    <w:pPr>
      <w:pBdr>
        <w:bottom w:val="single" w:sz="4" w:space="0" w:color="auto"/>
      </w:pBdr>
      <w:spacing w:before="100" w:beforeAutospacing="1" w:after="100" w:afterAutospacing="1" w:line="240" w:lineRule="auto"/>
      <w:jc w:val="right"/>
      <w:textAlignment w:val="center"/>
    </w:pPr>
    <w:rPr>
      <w:rFonts w:eastAsia="Times New Roman" w:cs="Times New Roman"/>
      <w:i/>
      <w:iCs/>
      <w:sz w:val="24"/>
      <w:szCs w:val="24"/>
    </w:rPr>
  </w:style>
  <w:style w:type="paragraph" w:customStyle="1" w:styleId="xl228">
    <w:name w:val="xl228"/>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29">
    <w:name w:val="xl229"/>
    <w:basedOn w:val="Normal"/>
    <w:pPr>
      <w:pBdr>
        <w:bottom w:val="single" w:sz="4" w:space="0" w:color="auto"/>
      </w:pBdr>
      <w:spacing w:before="100" w:beforeAutospacing="1" w:after="100" w:afterAutospacing="1" w:line="240" w:lineRule="auto"/>
      <w:jc w:val="right"/>
      <w:textAlignment w:val="center"/>
    </w:pPr>
    <w:rPr>
      <w:rFonts w:eastAsia="Times New Roman" w:cs="Times New Roman"/>
      <w:i/>
      <w:iCs/>
      <w:sz w:val="24"/>
      <w:szCs w:val="24"/>
    </w:rPr>
  </w:style>
  <w:style w:type="paragraph" w:customStyle="1" w:styleId="font7">
    <w:name w:val="font7"/>
    <w:basedOn w:val="Normal"/>
    <w:pPr>
      <w:spacing w:before="100" w:beforeAutospacing="1" w:after="100" w:afterAutospacing="1" w:line="240" w:lineRule="auto"/>
    </w:pPr>
    <w:rPr>
      <w:rFonts w:eastAsia="Times New Roman" w:cs="Times New Roman"/>
      <w:color w:val="000000"/>
      <w:sz w:val="26"/>
      <w:szCs w:val="26"/>
    </w:rPr>
  </w:style>
  <w:style w:type="character" w:customStyle="1" w:styleId="fontstyle01">
    <w:name w:val="fontstyle01"/>
    <w:rPr>
      <w:rFonts w:ascii="Times New Roman" w:hAnsi="Times New Roman" w:cs="Times New Roman" w:hint="default"/>
      <w:b w:val="0"/>
      <w:bCs w:val="0"/>
      <w:i/>
      <w:iCs/>
      <w:color w:val="000000"/>
      <w:sz w:val="28"/>
      <w:szCs w:val="28"/>
    </w:rPr>
  </w:style>
  <w:style w:type="character" w:customStyle="1" w:styleId="Heading3Char">
    <w:name w:val="Heading 3 Char"/>
    <w:basedOn w:val="DefaultParagraphFont"/>
    <w:link w:val="Heading3"/>
    <w:rPr>
      <w:rFonts w:ascii="Cambria" w:eastAsia="Times New Roman" w:hAnsi="Cambria" w:cs="Times New Roman"/>
      <w:b/>
      <w:bCs/>
      <w:sz w:val="26"/>
      <w:szCs w:val="26"/>
    </w:rPr>
  </w:style>
  <w:style w:type="character" w:styleId="LineNumber">
    <w:name w:val="line number"/>
    <w:basedOn w:val="DefaultParagraphFont"/>
    <w:uiPriority w:val="99"/>
    <w:semiHidden/>
    <w:unhideWhenUsed/>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character" w:styleId="PageNumber">
    <w:name w:val="page number"/>
    <w:basedOn w:val="DefaultParagraphFont"/>
  </w:style>
  <w:style w:type="character" w:customStyle="1" w:styleId="ng-star-inserted">
    <w:name w:val="ng-star-inserted"/>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78">
      <w:bodyDiv w:val="1"/>
      <w:marLeft w:val="0"/>
      <w:marRight w:val="0"/>
      <w:marTop w:val="0"/>
      <w:marBottom w:val="0"/>
      <w:divBdr>
        <w:top w:val="none" w:sz="0" w:space="0" w:color="auto"/>
        <w:left w:val="none" w:sz="0" w:space="0" w:color="auto"/>
        <w:bottom w:val="none" w:sz="0" w:space="0" w:color="auto"/>
        <w:right w:val="none" w:sz="0" w:space="0" w:color="auto"/>
      </w:divBdr>
    </w:div>
    <w:div w:id="662427">
      <w:bodyDiv w:val="1"/>
      <w:marLeft w:val="0"/>
      <w:marRight w:val="0"/>
      <w:marTop w:val="0"/>
      <w:marBottom w:val="0"/>
      <w:divBdr>
        <w:top w:val="none" w:sz="0" w:space="0" w:color="auto"/>
        <w:left w:val="none" w:sz="0" w:space="0" w:color="auto"/>
        <w:bottom w:val="none" w:sz="0" w:space="0" w:color="auto"/>
        <w:right w:val="none" w:sz="0" w:space="0" w:color="auto"/>
      </w:divBdr>
    </w:div>
    <w:div w:id="21251251">
      <w:bodyDiv w:val="1"/>
      <w:marLeft w:val="0"/>
      <w:marRight w:val="0"/>
      <w:marTop w:val="0"/>
      <w:marBottom w:val="0"/>
      <w:divBdr>
        <w:top w:val="none" w:sz="0" w:space="0" w:color="auto"/>
        <w:left w:val="none" w:sz="0" w:space="0" w:color="auto"/>
        <w:bottom w:val="none" w:sz="0" w:space="0" w:color="auto"/>
        <w:right w:val="none" w:sz="0" w:space="0" w:color="auto"/>
      </w:divBdr>
    </w:div>
    <w:div w:id="29458009">
      <w:bodyDiv w:val="1"/>
      <w:marLeft w:val="0"/>
      <w:marRight w:val="0"/>
      <w:marTop w:val="0"/>
      <w:marBottom w:val="0"/>
      <w:divBdr>
        <w:top w:val="none" w:sz="0" w:space="0" w:color="auto"/>
        <w:left w:val="none" w:sz="0" w:space="0" w:color="auto"/>
        <w:bottom w:val="none" w:sz="0" w:space="0" w:color="auto"/>
        <w:right w:val="none" w:sz="0" w:space="0" w:color="auto"/>
      </w:divBdr>
    </w:div>
    <w:div w:id="40637646">
      <w:bodyDiv w:val="1"/>
      <w:marLeft w:val="0"/>
      <w:marRight w:val="0"/>
      <w:marTop w:val="0"/>
      <w:marBottom w:val="0"/>
      <w:divBdr>
        <w:top w:val="none" w:sz="0" w:space="0" w:color="auto"/>
        <w:left w:val="none" w:sz="0" w:space="0" w:color="auto"/>
        <w:bottom w:val="none" w:sz="0" w:space="0" w:color="auto"/>
        <w:right w:val="none" w:sz="0" w:space="0" w:color="auto"/>
      </w:divBdr>
    </w:div>
    <w:div w:id="69543649">
      <w:bodyDiv w:val="1"/>
      <w:marLeft w:val="0"/>
      <w:marRight w:val="0"/>
      <w:marTop w:val="0"/>
      <w:marBottom w:val="0"/>
      <w:divBdr>
        <w:top w:val="none" w:sz="0" w:space="0" w:color="auto"/>
        <w:left w:val="none" w:sz="0" w:space="0" w:color="auto"/>
        <w:bottom w:val="none" w:sz="0" w:space="0" w:color="auto"/>
        <w:right w:val="none" w:sz="0" w:space="0" w:color="auto"/>
      </w:divBdr>
    </w:div>
    <w:div w:id="115680003">
      <w:bodyDiv w:val="1"/>
      <w:marLeft w:val="0"/>
      <w:marRight w:val="0"/>
      <w:marTop w:val="0"/>
      <w:marBottom w:val="0"/>
      <w:divBdr>
        <w:top w:val="none" w:sz="0" w:space="0" w:color="auto"/>
        <w:left w:val="none" w:sz="0" w:space="0" w:color="auto"/>
        <w:bottom w:val="none" w:sz="0" w:space="0" w:color="auto"/>
        <w:right w:val="none" w:sz="0" w:space="0" w:color="auto"/>
      </w:divBdr>
    </w:div>
    <w:div w:id="138305152">
      <w:bodyDiv w:val="1"/>
      <w:marLeft w:val="0"/>
      <w:marRight w:val="0"/>
      <w:marTop w:val="0"/>
      <w:marBottom w:val="0"/>
      <w:divBdr>
        <w:top w:val="none" w:sz="0" w:space="0" w:color="auto"/>
        <w:left w:val="none" w:sz="0" w:space="0" w:color="auto"/>
        <w:bottom w:val="none" w:sz="0" w:space="0" w:color="auto"/>
        <w:right w:val="none" w:sz="0" w:space="0" w:color="auto"/>
      </w:divBdr>
    </w:div>
    <w:div w:id="139730220">
      <w:bodyDiv w:val="1"/>
      <w:marLeft w:val="0"/>
      <w:marRight w:val="0"/>
      <w:marTop w:val="0"/>
      <w:marBottom w:val="0"/>
      <w:divBdr>
        <w:top w:val="none" w:sz="0" w:space="0" w:color="auto"/>
        <w:left w:val="none" w:sz="0" w:space="0" w:color="auto"/>
        <w:bottom w:val="none" w:sz="0" w:space="0" w:color="auto"/>
        <w:right w:val="none" w:sz="0" w:space="0" w:color="auto"/>
      </w:divBdr>
    </w:div>
    <w:div w:id="165899122">
      <w:bodyDiv w:val="1"/>
      <w:marLeft w:val="0"/>
      <w:marRight w:val="0"/>
      <w:marTop w:val="0"/>
      <w:marBottom w:val="0"/>
      <w:divBdr>
        <w:top w:val="none" w:sz="0" w:space="0" w:color="auto"/>
        <w:left w:val="none" w:sz="0" w:space="0" w:color="auto"/>
        <w:bottom w:val="none" w:sz="0" w:space="0" w:color="auto"/>
        <w:right w:val="none" w:sz="0" w:space="0" w:color="auto"/>
      </w:divBdr>
    </w:div>
    <w:div w:id="180508262">
      <w:bodyDiv w:val="1"/>
      <w:marLeft w:val="0"/>
      <w:marRight w:val="0"/>
      <w:marTop w:val="0"/>
      <w:marBottom w:val="0"/>
      <w:divBdr>
        <w:top w:val="none" w:sz="0" w:space="0" w:color="auto"/>
        <w:left w:val="none" w:sz="0" w:space="0" w:color="auto"/>
        <w:bottom w:val="none" w:sz="0" w:space="0" w:color="auto"/>
        <w:right w:val="none" w:sz="0" w:space="0" w:color="auto"/>
      </w:divBdr>
    </w:div>
    <w:div w:id="185027331">
      <w:bodyDiv w:val="1"/>
      <w:marLeft w:val="0"/>
      <w:marRight w:val="0"/>
      <w:marTop w:val="0"/>
      <w:marBottom w:val="0"/>
      <w:divBdr>
        <w:top w:val="none" w:sz="0" w:space="0" w:color="auto"/>
        <w:left w:val="none" w:sz="0" w:space="0" w:color="auto"/>
        <w:bottom w:val="none" w:sz="0" w:space="0" w:color="auto"/>
        <w:right w:val="none" w:sz="0" w:space="0" w:color="auto"/>
      </w:divBdr>
    </w:div>
    <w:div w:id="237206069">
      <w:bodyDiv w:val="1"/>
      <w:marLeft w:val="0"/>
      <w:marRight w:val="0"/>
      <w:marTop w:val="0"/>
      <w:marBottom w:val="0"/>
      <w:divBdr>
        <w:top w:val="none" w:sz="0" w:space="0" w:color="auto"/>
        <w:left w:val="none" w:sz="0" w:space="0" w:color="auto"/>
        <w:bottom w:val="none" w:sz="0" w:space="0" w:color="auto"/>
        <w:right w:val="none" w:sz="0" w:space="0" w:color="auto"/>
      </w:divBdr>
    </w:div>
    <w:div w:id="252670145">
      <w:bodyDiv w:val="1"/>
      <w:marLeft w:val="0"/>
      <w:marRight w:val="0"/>
      <w:marTop w:val="0"/>
      <w:marBottom w:val="0"/>
      <w:divBdr>
        <w:top w:val="none" w:sz="0" w:space="0" w:color="auto"/>
        <w:left w:val="none" w:sz="0" w:space="0" w:color="auto"/>
        <w:bottom w:val="none" w:sz="0" w:space="0" w:color="auto"/>
        <w:right w:val="none" w:sz="0" w:space="0" w:color="auto"/>
      </w:divBdr>
    </w:div>
    <w:div w:id="302780724">
      <w:bodyDiv w:val="1"/>
      <w:marLeft w:val="0"/>
      <w:marRight w:val="0"/>
      <w:marTop w:val="0"/>
      <w:marBottom w:val="0"/>
      <w:divBdr>
        <w:top w:val="none" w:sz="0" w:space="0" w:color="auto"/>
        <w:left w:val="none" w:sz="0" w:space="0" w:color="auto"/>
        <w:bottom w:val="none" w:sz="0" w:space="0" w:color="auto"/>
        <w:right w:val="none" w:sz="0" w:space="0" w:color="auto"/>
      </w:divBdr>
    </w:div>
    <w:div w:id="442531699">
      <w:bodyDiv w:val="1"/>
      <w:marLeft w:val="0"/>
      <w:marRight w:val="0"/>
      <w:marTop w:val="0"/>
      <w:marBottom w:val="0"/>
      <w:divBdr>
        <w:top w:val="none" w:sz="0" w:space="0" w:color="auto"/>
        <w:left w:val="none" w:sz="0" w:space="0" w:color="auto"/>
        <w:bottom w:val="none" w:sz="0" w:space="0" w:color="auto"/>
        <w:right w:val="none" w:sz="0" w:space="0" w:color="auto"/>
      </w:divBdr>
    </w:div>
    <w:div w:id="491214563">
      <w:bodyDiv w:val="1"/>
      <w:marLeft w:val="0"/>
      <w:marRight w:val="0"/>
      <w:marTop w:val="0"/>
      <w:marBottom w:val="0"/>
      <w:divBdr>
        <w:top w:val="none" w:sz="0" w:space="0" w:color="auto"/>
        <w:left w:val="none" w:sz="0" w:space="0" w:color="auto"/>
        <w:bottom w:val="none" w:sz="0" w:space="0" w:color="auto"/>
        <w:right w:val="none" w:sz="0" w:space="0" w:color="auto"/>
      </w:divBdr>
    </w:div>
    <w:div w:id="545456854">
      <w:bodyDiv w:val="1"/>
      <w:marLeft w:val="0"/>
      <w:marRight w:val="0"/>
      <w:marTop w:val="0"/>
      <w:marBottom w:val="0"/>
      <w:divBdr>
        <w:top w:val="none" w:sz="0" w:space="0" w:color="auto"/>
        <w:left w:val="none" w:sz="0" w:space="0" w:color="auto"/>
        <w:bottom w:val="none" w:sz="0" w:space="0" w:color="auto"/>
        <w:right w:val="none" w:sz="0" w:space="0" w:color="auto"/>
      </w:divBdr>
      <w:divsChild>
        <w:div w:id="2015841639">
          <w:marLeft w:val="0"/>
          <w:marRight w:val="0"/>
          <w:marTop w:val="0"/>
          <w:marBottom w:val="0"/>
          <w:divBdr>
            <w:top w:val="none" w:sz="0" w:space="0" w:color="auto"/>
            <w:left w:val="none" w:sz="0" w:space="0" w:color="auto"/>
            <w:bottom w:val="none" w:sz="0" w:space="0" w:color="auto"/>
            <w:right w:val="none" w:sz="0" w:space="0" w:color="auto"/>
          </w:divBdr>
          <w:divsChild>
            <w:div w:id="1641225218">
              <w:marLeft w:val="0"/>
              <w:marRight w:val="0"/>
              <w:marTop w:val="0"/>
              <w:marBottom w:val="0"/>
              <w:divBdr>
                <w:top w:val="none" w:sz="0" w:space="0" w:color="auto"/>
                <w:left w:val="none" w:sz="0" w:space="0" w:color="auto"/>
                <w:bottom w:val="none" w:sz="0" w:space="0" w:color="auto"/>
                <w:right w:val="none" w:sz="0" w:space="0" w:color="auto"/>
              </w:divBdr>
              <w:divsChild>
                <w:div w:id="1839878019">
                  <w:marLeft w:val="0"/>
                  <w:marRight w:val="0"/>
                  <w:marTop w:val="0"/>
                  <w:marBottom w:val="0"/>
                  <w:divBdr>
                    <w:top w:val="none" w:sz="0" w:space="0" w:color="auto"/>
                    <w:left w:val="none" w:sz="0" w:space="0" w:color="auto"/>
                    <w:bottom w:val="none" w:sz="0" w:space="0" w:color="auto"/>
                    <w:right w:val="none" w:sz="0" w:space="0" w:color="auto"/>
                  </w:divBdr>
                  <w:divsChild>
                    <w:div w:id="1863854776">
                      <w:marLeft w:val="0"/>
                      <w:marRight w:val="-105"/>
                      <w:marTop w:val="0"/>
                      <w:marBottom w:val="0"/>
                      <w:divBdr>
                        <w:top w:val="none" w:sz="0" w:space="0" w:color="auto"/>
                        <w:left w:val="none" w:sz="0" w:space="0" w:color="auto"/>
                        <w:bottom w:val="none" w:sz="0" w:space="0" w:color="auto"/>
                        <w:right w:val="none" w:sz="0" w:space="0" w:color="auto"/>
                      </w:divBdr>
                      <w:divsChild>
                        <w:div w:id="1333797783">
                          <w:marLeft w:val="0"/>
                          <w:marRight w:val="0"/>
                          <w:marTop w:val="0"/>
                          <w:marBottom w:val="0"/>
                          <w:divBdr>
                            <w:top w:val="none" w:sz="0" w:space="0" w:color="auto"/>
                            <w:left w:val="none" w:sz="0" w:space="0" w:color="auto"/>
                            <w:bottom w:val="none" w:sz="0" w:space="0" w:color="auto"/>
                            <w:right w:val="none" w:sz="0" w:space="0" w:color="auto"/>
                          </w:divBdr>
                          <w:divsChild>
                            <w:div w:id="1656685750">
                              <w:marLeft w:val="0"/>
                              <w:marRight w:val="0"/>
                              <w:marTop w:val="600"/>
                              <w:marBottom w:val="0"/>
                              <w:divBdr>
                                <w:top w:val="none" w:sz="0" w:space="0" w:color="auto"/>
                                <w:left w:val="none" w:sz="0" w:space="0" w:color="auto"/>
                                <w:bottom w:val="none" w:sz="0" w:space="0" w:color="auto"/>
                                <w:right w:val="none" w:sz="0" w:space="0" w:color="auto"/>
                              </w:divBdr>
                              <w:divsChild>
                                <w:div w:id="69696560">
                                  <w:marLeft w:val="0"/>
                                  <w:marRight w:val="0"/>
                                  <w:marTop w:val="0"/>
                                  <w:marBottom w:val="0"/>
                                  <w:divBdr>
                                    <w:top w:val="none" w:sz="0" w:space="0" w:color="auto"/>
                                    <w:left w:val="none" w:sz="0" w:space="0" w:color="auto"/>
                                    <w:bottom w:val="none" w:sz="0" w:space="0" w:color="auto"/>
                                    <w:right w:val="none" w:sz="0" w:space="0" w:color="auto"/>
                                  </w:divBdr>
                                  <w:divsChild>
                                    <w:div w:id="1187714790">
                                      <w:marLeft w:val="750"/>
                                      <w:marRight w:val="0"/>
                                      <w:marTop w:val="0"/>
                                      <w:marBottom w:val="0"/>
                                      <w:divBdr>
                                        <w:top w:val="none" w:sz="0" w:space="0" w:color="auto"/>
                                        <w:left w:val="none" w:sz="0" w:space="0" w:color="auto"/>
                                        <w:bottom w:val="none" w:sz="0" w:space="0" w:color="auto"/>
                                        <w:right w:val="none" w:sz="0" w:space="0" w:color="auto"/>
                                      </w:divBdr>
                                      <w:divsChild>
                                        <w:div w:id="186528313">
                                          <w:marLeft w:val="0"/>
                                          <w:marRight w:val="0"/>
                                          <w:marTop w:val="0"/>
                                          <w:marBottom w:val="0"/>
                                          <w:divBdr>
                                            <w:top w:val="none" w:sz="0" w:space="0" w:color="auto"/>
                                            <w:left w:val="none" w:sz="0" w:space="0" w:color="auto"/>
                                            <w:bottom w:val="none" w:sz="0" w:space="0" w:color="auto"/>
                                            <w:right w:val="none" w:sz="0" w:space="0" w:color="auto"/>
                                          </w:divBdr>
                                          <w:divsChild>
                                            <w:div w:id="17050554">
                                              <w:marLeft w:val="0"/>
                                              <w:marRight w:val="0"/>
                                              <w:marTop w:val="0"/>
                                              <w:marBottom w:val="0"/>
                                              <w:divBdr>
                                                <w:top w:val="none" w:sz="0" w:space="0" w:color="auto"/>
                                                <w:left w:val="none" w:sz="0" w:space="0" w:color="auto"/>
                                                <w:bottom w:val="none" w:sz="0" w:space="0" w:color="auto"/>
                                                <w:right w:val="none" w:sz="0" w:space="0" w:color="auto"/>
                                              </w:divBdr>
                                              <w:divsChild>
                                                <w:div w:id="1222669877">
                                                  <w:marLeft w:val="0"/>
                                                  <w:marRight w:val="0"/>
                                                  <w:marTop w:val="0"/>
                                                  <w:marBottom w:val="0"/>
                                                  <w:divBdr>
                                                    <w:top w:val="none" w:sz="0" w:space="0" w:color="auto"/>
                                                    <w:left w:val="none" w:sz="0" w:space="0" w:color="auto"/>
                                                    <w:bottom w:val="none" w:sz="0" w:space="0" w:color="auto"/>
                                                    <w:right w:val="none" w:sz="0" w:space="0" w:color="auto"/>
                                                  </w:divBdr>
                                                  <w:divsChild>
                                                    <w:div w:id="1284531803">
                                                      <w:marLeft w:val="0"/>
                                                      <w:marRight w:val="0"/>
                                                      <w:marTop w:val="0"/>
                                                      <w:marBottom w:val="0"/>
                                                      <w:divBdr>
                                                        <w:top w:val="none" w:sz="0" w:space="0" w:color="auto"/>
                                                        <w:left w:val="none" w:sz="0" w:space="0" w:color="auto"/>
                                                        <w:bottom w:val="none" w:sz="0" w:space="0" w:color="auto"/>
                                                        <w:right w:val="none" w:sz="0" w:space="0" w:color="auto"/>
                                                      </w:divBdr>
                                                      <w:divsChild>
                                                        <w:div w:id="585455314">
                                                          <w:marLeft w:val="0"/>
                                                          <w:marRight w:val="0"/>
                                                          <w:marTop w:val="0"/>
                                                          <w:marBottom w:val="0"/>
                                                          <w:divBdr>
                                                            <w:top w:val="none" w:sz="0" w:space="0" w:color="auto"/>
                                                            <w:left w:val="none" w:sz="0" w:space="0" w:color="auto"/>
                                                            <w:bottom w:val="none" w:sz="0" w:space="0" w:color="auto"/>
                                                            <w:right w:val="none" w:sz="0" w:space="0" w:color="auto"/>
                                                          </w:divBdr>
                                                          <w:divsChild>
                                                            <w:div w:id="569969595">
                                                              <w:marLeft w:val="0"/>
                                                              <w:marRight w:val="0"/>
                                                              <w:marTop w:val="0"/>
                                                              <w:marBottom w:val="0"/>
                                                              <w:divBdr>
                                                                <w:top w:val="none" w:sz="0" w:space="0" w:color="auto"/>
                                                                <w:left w:val="none" w:sz="0" w:space="0" w:color="auto"/>
                                                                <w:bottom w:val="none" w:sz="0" w:space="0" w:color="auto"/>
                                                                <w:right w:val="none" w:sz="0" w:space="0" w:color="auto"/>
                                                              </w:divBdr>
                                                              <w:divsChild>
                                                                <w:div w:id="320547150">
                                                                  <w:marLeft w:val="0"/>
                                                                  <w:marRight w:val="0"/>
                                                                  <w:marTop w:val="0"/>
                                                                  <w:marBottom w:val="0"/>
                                                                  <w:divBdr>
                                                                    <w:top w:val="none" w:sz="0" w:space="0" w:color="auto"/>
                                                                    <w:left w:val="none" w:sz="0" w:space="0" w:color="auto"/>
                                                                    <w:bottom w:val="none" w:sz="0" w:space="0" w:color="auto"/>
                                                                    <w:right w:val="none" w:sz="0" w:space="0" w:color="auto"/>
                                                                  </w:divBdr>
                                                                  <w:divsChild>
                                                                    <w:div w:id="1433624266">
                                                                      <w:marLeft w:val="0"/>
                                                                      <w:marRight w:val="0"/>
                                                                      <w:marTop w:val="0"/>
                                                                      <w:marBottom w:val="0"/>
                                                                      <w:divBdr>
                                                                        <w:top w:val="none" w:sz="0" w:space="0" w:color="auto"/>
                                                                        <w:left w:val="none" w:sz="0" w:space="0" w:color="auto"/>
                                                                        <w:bottom w:val="none" w:sz="0" w:space="0" w:color="auto"/>
                                                                        <w:right w:val="none" w:sz="0" w:space="0" w:color="auto"/>
                                                                      </w:divBdr>
                                                                      <w:divsChild>
                                                                        <w:div w:id="206798746">
                                                                          <w:marLeft w:val="0"/>
                                                                          <w:marRight w:val="0"/>
                                                                          <w:marTop w:val="0"/>
                                                                          <w:marBottom w:val="0"/>
                                                                          <w:divBdr>
                                                                            <w:top w:val="none" w:sz="0" w:space="0" w:color="auto"/>
                                                                            <w:left w:val="none" w:sz="0" w:space="0" w:color="auto"/>
                                                                            <w:bottom w:val="none" w:sz="0" w:space="0" w:color="auto"/>
                                                                            <w:right w:val="none" w:sz="0" w:space="0" w:color="auto"/>
                                                                          </w:divBdr>
                                                                          <w:divsChild>
                                                                            <w:div w:id="4182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5653241">
          <w:marLeft w:val="0"/>
          <w:marRight w:val="0"/>
          <w:marTop w:val="0"/>
          <w:marBottom w:val="0"/>
          <w:divBdr>
            <w:top w:val="none" w:sz="0" w:space="0" w:color="auto"/>
            <w:left w:val="none" w:sz="0" w:space="0" w:color="auto"/>
            <w:bottom w:val="none" w:sz="0" w:space="0" w:color="auto"/>
            <w:right w:val="none" w:sz="0" w:space="0" w:color="auto"/>
          </w:divBdr>
          <w:divsChild>
            <w:div w:id="1647978913">
              <w:marLeft w:val="0"/>
              <w:marRight w:val="0"/>
              <w:marTop w:val="0"/>
              <w:marBottom w:val="0"/>
              <w:divBdr>
                <w:top w:val="none" w:sz="0" w:space="0" w:color="auto"/>
                <w:left w:val="none" w:sz="0" w:space="0" w:color="auto"/>
                <w:bottom w:val="none" w:sz="0" w:space="0" w:color="auto"/>
                <w:right w:val="none" w:sz="0" w:space="0" w:color="auto"/>
              </w:divBdr>
              <w:divsChild>
                <w:div w:id="1097680436">
                  <w:marLeft w:val="0"/>
                  <w:marRight w:val="0"/>
                  <w:marTop w:val="0"/>
                  <w:marBottom w:val="0"/>
                  <w:divBdr>
                    <w:top w:val="none" w:sz="0" w:space="0" w:color="auto"/>
                    <w:left w:val="none" w:sz="0" w:space="0" w:color="auto"/>
                    <w:bottom w:val="none" w:sz="0" w:space="0" w:color="auto"/>
                    <w:right w:val="none" w:sz="0" w:space="0" w:color="auto"/>
                  </w:divBdr>
                </w:div>
              </w:divsChild>
            </w:div>
            <w:div w:id="183137090">
              <w:marLeft w:val="0"/>
              <w:marRight w:val="0"/>
              <w:marTop w:val="0"/>
              <w:marBottom w:val="0"/>
              <w:divBdr>
                <w:top w:val="none" w:sz="0" w:space="0" w:color="auto"/>
                <w:left w:val="none" w:sz="0" w:space="0" w:color="auto"/>
                <w:bottom w:val="none" w:sz="0" w:space="0" w:color="auto"/>
                <w:right w:val="none" w:sz="0" w:space="0" w:color="auto"/>
              </w:divBdr>
              <w:divsChild>
                <w:div w:id="1366515705">
                  <w:marLeft w:val="0"/>
                  <w:marRight w:val="0"/>
                  <w:marTop w:val="0"/>
                  <w:marBottom w:val="0"/>
                  <w:divBdr>
                    <w:top w:val="none" w:sz="0" w:space="0" w:color="auto"/>
                    <w:left w:val="none" w:sz="0" w:space="0" w:color="auto"/>
                    <w:bottom w:val="none" w:sz="0" w:space="0" w:color="auto"/>
                    <w:right w:val="none" w:sz="0" w:space="0" w:color="auto"/>
                  </w:divBdr>
                  <w:divsChild>
                    <w:div w:id="1864368163">
                      <w:marLeft w:val="0"/>
                      <w:marRight w:val="0"/>
                      <w:marTop w:val="0"/>
                      <w:marBottom w:val="0"/>
                      <w:divBdr>
                        <w:top w:val="none" w:sz="0" w:space="0" w:color="auto"/>
                        <w:left w:val="none" w:sz="0" w:space="0" w:color="auto"/>
                        <w:bottom w:val="none" w:sz="0" w:space="0" w:color="auto"/>
                        <w:right w:val="none" w:sz="0" w:space="0" w:color="auto"/>
                      </w:divBdr>
                      <w:divsChild>
                        <w:div w:id="664818783">
                          <w:marLeft w:val="0"/>
                          <w:marRight w:val="0"/>
                          <w:marTop w:val="0"/>
                          <w:marBottom w:val="0"/>
                          <w:divBdr>
                            <w:top w:val="none" w:sz="0" w:space="0" w:color="auto"/>
                            <w:left w:val="none" w:sz="0" w:space="0" w:color="auto"/>
                            <w:bottom w:val="none" w:sz="0" w:space="0" w:color="auto"/>
                            <w:right w:val="none" w:sz="0" w:space="0" w:color="auto"/>
                          </w:divBdr>
                          <w:divsChild>
                            <w:div w:id="1552185827">
                              <w:marLeft w:val="0"/>
                              <w:marRight w:val="0"/>
                              <w:marTop w:val="0"/>
                              <w:marBottom w:val="0"/>
                              <w:divBdr>
                                <w:top w:val="none" w:sz="0" w:space="0" w:color="auto"/>
                                <w:left w:val="none" w:sz="0" w:space="0" w:color="auto"/>
                                <w:bottom w:val="none" w:sz="0" w:space="0" w:color="auto"/>
                                <w:right w:val="none" w:sz="0" w:space="0" w:color="auto"/>
                              </w:divBdr>
                              <w:divsChild>
                                <w:div w:id="125853308">
                                  <w:marLeft w:val="0"/>
                                  <w:marRight w:val="0"/>
                                  <w:marTop w:val="0"/>
                                  <w:marBottom w:val="0"/>
                                  <w:divBdr>
                                    <w:top w:val="none" w:sz="0" w:space="0" w:color="auto"/>
                                    <w:left w:val="none" w:sz="0" w:space="0" w:color="auto"/>
                                    <w:bottom w:val="none" w:sz="0" w:space="0" w:color="auto"/>
                                    <w:right w:val="none" w:sz="0" w:space="0" w:color="auto"/>
                                  </w:divBdr>
                                  <w:divsChild>
                                    <w:div w:id="1289513888">
                                      <w:marLeft w:val="0"/>
                                      <w:marRight w:val="0"/>
                                      <w:marTop w:val="0"/>
                                      <w:marBottom w:val="0"/>
                                      <w:divBdr>
                                        <w:top w:val="none" w:sz="0" w:space="0" w:color="auto"/>
                                        <w:left w:val="none" w:sz="0" w:space="0" w:color="auto"/>
                                        <w:bottom w:val="none" w:sz="0" w:space="0" w:color="auto"/>
                                        <w:right w:val="none" w:sz="0" w:space="0" w:color="auto"/>
                                      </w:divBdr>
                                      <w:divsChild>
                                        <w:div w:id="536740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9661255">
      <w:bodyDiv w:val="1"/>
      <w:marLeft w:val="0"/>
      <w:marRight w:val="0"/>
      <w:marTop w:val="0"/>
      <w:marBottom w:val="0"/>
      <w:divBdr>
        <w:top w:val="none" w:sz="0" w:space="0" w:color="auto"/>
        <w:left w:val="none" w:sz="0" w:space="0" w:color="auto"/>
        <w:bottom w:val="none" w:sz="0" w:space="0" w:color="auto"/>
        <w:right w:val="none" w:sz="0" w:space="0" w:color="auto"/>
      </w:divBdr>
    </w:div>
    <w:div w:id="571087495">
      <w:bodyDiv w:val="1"/>
      <w:marLeft w:val="0"/>
      <w:marRight w:val="0"/>
      <w:marTop w:val="0"/>
      <w:marBottom w:val="0"/>
      <w:divBdr>
        <w:top w:val="none" w:sz="0" w:space="0" w:color="auto"/>
        <w:left w:val="none" w:sz="0" w:space="0" w:color="auto"/>
        <w:bottom w:val="none" w:sz="0" w:space="0" w:color="auto"/>
        <w:right w:val="none" w:sz="0" w:space="0" w:color="auto"/>
      </w:divBdr>
    </w:div>
    <w:div w:id="689377402">
      <w:bodyDiv w:val="1"/>
      <w:marLeft w:val="0"/>
      <w:marRight w:val="0"/>
      <w:marTop w:val="0"/>
      <w:marBottom w:val="0"/>
      <w:divBdr>
        <w:top w:val="none" w:sz="0" w:space="0" w:color="auto"/>
        <w:left w:val="none" w:sz="0" w:space="0" w:color="auto"/>
        <w:bottom w:val="none" w:sz="0" w:space="0" w:color="auto"/>
        <w:right w:val="none" w:sz="0" w:space="0" w:color="auto"/>
      </w:divBdr>
    </w:div>
    <w:div w:id="698896223">
      <w:bodyDiv w:val="1"/>
      <w:marLeft w:val="0"/>
      <w:marRight w:val="0"/>
      <w:marTop w:val="0"/>
      <w:marBottom w:val="0"/>
      <w:divBdr>
        <w:top w:val="none" w:sz="0" w:space="0" w:color="auto"/>
        <w:left w:val="none" w:sz="0" w:space="0" w:color="auto"/>
        <w:bottom w:val="none" w:sz="0" w:space="0" w:color="auto"/>
        <w:right w:val="none" w:sz="0" w:space="0" w:color="auto"/>
      </w:divBdr>
    </w:div>
    <w:div w:id="743529733">
      <w:bodyDiv w:val="1"/>
      <w:marLeft w:val="0"/>
      <w:marRight w:val="0"/>
      <w:marTop w:val="0"/>
      <w:marBottom w:val="0"/>
      <w:divBdr>
        <w:top w:val="none" w:sz="0" w:space="0" w:color="auto"/>
        <w:left w:val="none" w:sz="0" w:space="0" w:color="auto"/>
        <w:bottom w:val="none" w:sz="0" w:space="0" w:color="auto"/>
        <w:right w:val="none" w:sz="0" w:space="0" w:color="auto"/>
      </w:divBdr>
    </w:div>
    <w:div w:id="754977575">
      <w:bodyDiv w:val="1"/>
      <w:marLeft w:val="0"/>
      <w:marRight w:val="0"/>
      <w:marTop w:val="0"/>
      <w:marBottom w:val="0"/>
      <w:divBdr>
        <w:top w:val="none" w:sz="0" w:space="0" w:color="auto"/>
        <w:left w:val="none" w:sz="0" w:space="0" w:color="auto"/>
        <w:bottom w:val="none" w:sz="0" w:space="0" w:color="auto"/>
        <w:right w:val="none" w:sz="0" w:space="0" w:color="auto"/>
      </w:divBdr>
    </w:div>
    <w:div w:id="794056681">
      <w:bodyDiv w:val="1"/>
      <w:marLeft w:val="0"/>
      <w:marRight w:val="0"/>
      <w:marTop w:val="0"/>
      <w:marBottom w:val="0"/>
      <w:divBdr>
        <w:top w:val="none" w:sz="0" w:space="0" w:color="auto"/>
        <w:left w:val="none" w:sz="0" w:space="0" w:color="auto"/>
        <w:bottom w:val="none" w:sz="0" w:space="0" w:color="auto"/>
        <w:right w:val="none" w:sz="0" w:space="0" w:color="auto"/>
      </w:divBdr>
    </w:div>
    <w:div w:id="834415219">
      <w:bodyDiv w:val="1"/>
      <w:marLeft w:val="0"/>
      <w:marRight w:val="0"/>
      <w:marTop w:val="0"/>
      <w:marBottom w:val="0"/>
      <w:divBdr>
        <w:top w:val="none" w:sz="0" w:space="0" w:color="auto"/>
        <w:left w:val="none" w:sz="0" w:space="0" w:color="auto"/>
        <w:bottom w:val="none" w:sz="0" w:space="0" w:color="auto"/>
        <w:right w:val="none" w:sz="0" w:space="0" w:color="auto"/>
      </w:divBdr>
    </w:div>
    <w:div w:id="862866285">
      <w:bodyDiv w:val="1"/>
      <w:marLeft w:val="0"/>
      <w:marRight w:val="0"/>
      <w:marTop w:val="0"/>
      <w:marBottom w:val="0"/>
      <w:divBdr>
        <w:top w:val="none" w:sz="0" w:space="0" w:color="auto"/>
        <w:left w:val="none" w:sz="0" w:space="0" w:color="auto"/>
        <w:bottom w:val="none" w:sz="0" w:space="0" w:color="auto"/>
        <w:right w:val="none" w:sz="0" w:space="0" w:color="auto"/>
      </w:divBdr>
    </w:div>
    <w:div w:id="896666748">
      <w:bodyDiv w:val="1"/>
      <w:marLeft w:val="0"/>
      <w:marRight w:val="0"/>
      <w:marTop w:val="0"/>
      <w:marBottom w:val="0"/>
      <w:divBdr>
        <w:top w:val="none" w:sz="0" w:space="0" w:color="auto"/>
        <w:left w:val="none" w:sz="0" w:space="0" w:color="auto"/>
        <w:bottom w:val="none" w:sz="0" w:space="0" w:color="auto"/>
        <w:right w:val="none" w:sz="0" w:space="0" w:color="auto"/>
      </w:divBdr>
    </w:div>
    <w:div w:id="899709912">
      <w:bodyDiv w:val="1"/>
      <w:marLeft w:val="0"/>
      <w:marRight w:val="0"/>
      <w:marTop w:val="0"/>
      <w:marBottom w:val="0"/>
      <w:divBdr>
        <w:top w:val="none" w:sz="0" w:space="0" w:color="auto"/>
        <w:left w:val="none" w:sz="0" w:space="0" w:color="auto"/>
        <w:bottom w:val="none" w:sz="0" w:space="0" w:color="auto"/>
        <w:right w:val="none" w:sz="0" w:space="0" w:color="auto"/>
      </w:divBdr>
    </w:div>
    <w:div w:id="912545721">
      <w:bodyDiv w:val="1"/>
      <w:marLeft w:val="0"/>
      <w:marRight w:val="0"/>
      <w:marTop w:val="0"/>
      <w:marBottom w:val="0"/>
      <w:divBdr>
        <w:top w:val="none" w:sz="0" w:space="0" w:color="auto"/>
        <w:left w:val="none" w:sz="0" w:space="0" w:color="auto"/>
        <w:bottom w:val="none" w:sz="0" w:space="0" w:color="auto"/>
        <w:right w:val="none" w:sz="0" w:space="0" w:color="auto"/>
      </w:divBdr>
    </w:div>
    <w:div w:id="961693678">
      <w:bodyDiv w:val="1"/>
      <w:marLeft w:val="0"/>
      <w:marRight w:val="0"/>
      <w:marTop w:val="0"/>
      <w:marBottom w:val="0"/>
      <w:divBdr>
        <w:top w:val="none" w:sz="0" w:space="0" w:color="auto"/>
        <w:left w:val="none" w:sz="0" w:space="0" w:color="auto"/>
        <w:bottom w:val="none" w:sz="0" w:space="0" w:color="auto"/>
        <w:right w:val="none" w:sz="0" w:space="0" w:color="auto"/>
      </w:divBdr>
    </w:div>
    <w:div w:id="986667108">
      <w:bodyDiv w:val="1"/>
      <w:marLeft w:val="0"/>
      <w:marRight w:val="0"/>
      <w:marTop w:val="0"/>
      <w:marBottom w:val="0"/>
      <w:divBdr>
        <w:top w:val="none" w:sz="0" w:space="0" w:color="auto"/>
        <w:left w:val="none" w:sz="0" w:space="0" w:color="auto"/>
        <w:bottom w:val="none" w:sz="0" w:space="0" w:color="auto"/>
        <w:right w:val="none" w:sz="0" w:space="0" w:color="auto"/>
      </w:divBdr>
    </w:div>
    <w:div w:id="1001273368">
      <w:bodyDiv w:val="1"/>
      <w:marLeft w:val="0"/>
      <w:marRight w:val="0"/>
      <w:marTop w:val="0"/>
      <w:marBottom w:val="0"/>
      <w:divBdr>
        <w:top w:val="none" w:sz="0" w:space="0" w:color="auto"/>
        <w:left w:val="none" w:sz="0" w:space="0" w:color="auto"/>
        <w:bottom w:val="none" w:sz="0" w:space="0" w:color="auto"/>
        <w:right w:val="none" w:sz="0" w:space="0" w:color="auto"/>
      </w:divBdr>
    </w:div>
    <w:div w:id="1007638112">
      <w:bodyDiv w:val="1"/>
      <w:marLeft w:val="0"/>
      <w:marRight w:val="0"/>
      <w:marTop w:val="0"/>
      <w:marBottom w:val="0"/>
      <w:divBdr>
        <w:top w:val="none" w:sz="0" w:space="0" w:color="auto"/>
        <w:left w:val="none" w:sz="0" w:space="0" w:color="auto"/>
        <w:bottom w:val="none" w:sz="0" w:space="0" w:color="auto"/>
        <w:right w:val="none" w:sz="0" w:space="0" w:color="auto"/>
      </w:divBdr>
    </w:div>
    <w:div w:id="1018046422">
      <w:bodyDiv w:val="1"/>
      <w:marLeft w:val="0"/>
      <w:marRight w:val="0"/>
      <w:marTop w:val="0"/>
      <w:marBottom w:val="0"/>
      <w:divBdr>
        <w:top w:val="none" w:sz="0" w:space="0" w:color="auto"/>
        <w:left w:val="none" w:sz="0" w:space="0" w:color="auto"/>
        <w:bottom w:val="none" w:sz="0" w:space="0" w:color="auto"/>
        <w:right w:val="none" w:sz="0" w:space="0" w:color="auto"/>
      </w:divBdr>
    </w:div>
    <w:div w:id="1028065802">
      <w:bodyDiv w:val="1"/>
      <w:marLeft w:val="0"/>
      <w:marRight w:val="0"/>
      <w:marTop w:val="0"/>
      <w:marBottom w:val="0"/>
      <w:divBdr>
        <w:top w:val="none" w:sz="0" w:space="0" w:color="auto"/>
        <w:left w:val="none" w:sz="0" w:space="0" w:color="auto"/>
        <w:bottom w:val="none" w:sz="0" w:space="0" w:color="auto"/>
        <w:right w:val="none" w:sz="0" w:space="0" w:color="auto"/>
      </w:divBdr>
    </w:div>
    <w:div w:id="1041444130">
      <w:bodyDiv w:val="1"/>
      <w:marLeft w:val="0"/>
      <w:marRight w:val="0"/>
      <w:marTop w:val="0"/>
      <w:marBottom w:val="0"/>
      <w:divBdr>
        <w:top w:val="none" w:sz="0" w:space="0" w:color="auto"/>
        <w:left w:val="none" w:sz="0" w:space="0" w:color="auto"/>
        <w:bottom w:val="none" w:sz="0" w:space="0" w:color="auto"/>
        <w:right w:val="none" w:sz="0" w:space="0" w:color="auto"/>
      </w:divBdr>
    </w:div>
    <w:div w:id="1051148738">
      <w:bodyDiv w:val="1"/>
      <w:marLeft w:val="0"/>
      <w:marRight w:val="0"/>
      <w:marTop w:val="0"/>
      <w:marBottom w:val="0"/>
      <w:divBdr>
        <w:top w:val="none" w:sz="0" w:space="0" w:color="auto"/>
        <w:left w:val="none" w:sz="0" w:space="0" w:color="auto"/>
        <w:bottom w:val="none" w:sz="0" w:space="0" w:color="auto"/>
        <w:right w:val="none" w:sz="0" w:space="0" w:color="auto"/>
      </w:divBdr>
    </w:div>
    <w:div w:id="1099332970">
      <w:bodyDiv w:val="1"/>
      <w:marLeft w:val="0"/>
      <w:marRight w:val="0"/>
      <w:marTop w:val="0"/>
      <w:marBottom w:val="0"/>
      <w:divBdr>
        <w:top w:val="none" w:sz="0" w:space="0" w:color="auto"/>
        <w:left w:val="none" w:sz="0" w:space="0" w:color="auto"/>
        <w:bottom w:val="none" w:sz="0" w:space="0" w:color="auto"/>
        <w:right w:val="none" w:sz="0" w:space="0" w:color="auto"/>
      </w:divBdr>
    </w:div>
    <w:div w:id="1146387266">
      <w:bodyDiv w:val="1"/>
      <w:marLeft w:val="0"/>
      <w:marRight w:val="0"/>
      <w:marTop w:val="0"/>
      <w:marBottom w:val="0"/>
      <w:divBdr>
        <w:top w:val="none" w:sz="0" w:space="0" w:color="auto"/>
        <w:left w:val="none" w:sz="0" w:space="0" w:color="auto"/>
        <w:bottom w:val="none" w:sz="0" w:space="0" w:color="auto"/>
        <w:right w:val="none" w:sz="0" w:space="0" w:color="auto"/>
      </w:divBdr>
    </w:div>
    <w:div w:id="1193687825">
      <w:bodyDiv w:val="1"/>
      <w:marLeft w:val="0"/>
      <w:marRight w:val="0"/>
      <w:marTop w:val="0"/>
      <w:marBottom w:val="0"/>
      <w:divBdr>
        <w:top w:val="none" w:sz="0" w:space="0" w:color="auto"/>
        <w:left w:val="none" w:sz="0" w:space="0" w:color="auto"/>
        <w:bottom w:val="none" w:sz="0" w:space="0" w:color="auto"/>
        <w:right w:val="none" w:sz="0" w:space="0" w:color="auto"/>
      </w:divBdr>
    </w:div>
    <w:div w:id="1217816180">
      <w:bodyDiv w:val="1"/>
      <w:marLeft w:val="0"/>
      <w:marRight w:val="0"/>
      <w:marTop w:val="0"/>
      <w:marBottom w:val="0"/>
      <w:divBdr>
        <w:top w:val="none" w:sz="0" w:space="0" w:color="auto"/>
        <w:left w:val="none" w:sz="0" w:space="0" w:color="auto"/>
        <w:bottom w:val="none" w:sz="0" w:space="0" w:color="auto"/>
        <w:right w:val="none" w:sz="0" w:space="0" w:color="auto"/>
      </w:divBdr>
    </w:div>
    <w:div w:id="1219895762">
      <w:bodyDiv w:val="1"/>
      <w:marLeft w:val="0"/>
      <w:marRight w:val="0"/>
      <w:marTop w:val="0"/>
      <w:marBottom w:val="0"/>
      <w:divBdr>
        <w:top w:val="none" w:sz="0" w:space="0" w:color="auto"/>
        <w:left w:val="none" w:sz="0" w:space="0" w:color="auto"/>
        <w:bottom w:val="none" w:sz="0" w:space="0" w:color="auto"/>
        <w:right w:val="none" w:sz="0" w:space="0" w:color="auto"/>
      </w:divBdr>
    </w:div>
    <w:div w:id="1240015367">
      <w:bodyDiv w:val="1"/>
      <w:marLeft w:val="0"/>
      <w:marRight w:val="0"/>
      <w:marTop w:val="0"/>
      <w:marBottom w:val="0"/>
      <w:divBdr>
        <w:top w:val="none" w:sz="0" w:space="0" w:color="auto"/>
        <w:left w:val="none" w:sz="0" w:space="0" w:color="auto"/>
        <w:bottom w:val="none" w:sz="0" w:space="0" w:color="auto"/>
        <w:right w:val="none" w:sz="0" w:space="0" w:color="auto"/>
      </w:divBdr>
    </w:div>
    <w:div w:id="1252933181">
      <w:bodyDiv w:val="1"/>
      <w:marLeft w:val="0"/>
      <w:marRight w:val="0"/>
      <w:marTop w:val="0"/>
      <w:marBottom w:val="0"/>
      <w:divBdr>
        <w:top w:val="none" w:sz="0" w:space="0" w:color="auto"/>
        <w:left w:val="none" w:sz="0" w:space="0" w:color="auto"/>
        <w:bottom w:val="none" w:sz="0" w:space="0" w:color="auto"/>
        <w:right w:val="none" w:sz="0" w:space="0" w:color="auto"/>
      </w:divBdr>
    </w:div>
    <w:div w:id="1266578499">
      <w:bodyDiv w:val="1"/>
      <w:marLeft w:val="0"/>
      <w:marRight w:val="0"/>
      <w:marTop w:val="0"/>
      <w:marBottom w:val="0"/>
      <w:divBdr>
        <w:top w:val="none" w:sz="0" w:space="0" w:color="auto"/>
        <w:left w:val="none" w:sz="0" w:space="0" w:color="auto"/>
        <w:bottom w:val="none" w:sz="0" w:space="0" w:color="auto"/>
        <w:right w:val="none" w:sz="0" w:space="0" w:color="auto"/>
      </w:divBdr>
    </w:div>
    <w:div w:id="1276910252">
      <w:bodyDiv w:val="1"/>
      <w:marLeft w:val="0"/>
      <w:marRight w:val="0"/>
      <w:marTop w:val="0"/>
      <w:marBottom w:val="0"/>
      <w:divBdr>
        <w:top w:val="none" w:sz="0" w:space="0" w:color="auto"/>
        <w:left w:val="none" w:sz="0" w:space="0" w:color="auto"/>
        <w:bottom w:val="none" w:sz="0" w:space="0" w:color="auto"/>
        <w:right w:val="none" w:sz="0" w:space="0" w:color="auto"/>
      </w:divBdr>
    </w:div>
    <w:div w:id="1284186861">
      <w:bodyDiv w:val="1"/>
      <w:marLeft w:val="0"/>
      <w:marRight w:val="0"/>
      <w:marTop w:val="0"/>
      <w:marBottom w:val="0"/>
      <w:divBdr>
        <w:top w:val="none" w:sz="0" w:space="0" w:color="auto"/>
        <w:left w:val="none" w:sz="0" w:space="0" w:color="auto"/>
        <w:bottom w:val="none" w:sz="0" w:space="0" w:color="auto"/>
        <w:right w:val="none" w:sz="0" w:space="0" w:color="auto"/>
      </w:divBdr>
    </w:div>
    <w:div w:id="1291398877">
      <w:bodyDiv w:val="1"/>
      <w:marLeft w:val="0"/>
      <w:marRight w:val="0"/>
      <w:marTop w:val="0"/>
      <w:marBottom w:val="0"/>
      <w:divBdr>
        <w:top w:val="none" w:sz="0" w:space="0" w:color="auto"/>
        <w:left w:val="none" w:sz="0" w:space="0" w:color="auto"/>
        <w:bottom w:val="none" w:sz="0" w:space="0" w:color="auto"/>
        <w:right w:val="none" w:sz="0" w:space="0" w:color="auto"/>
      </w:divBdr>
    </w:div>
    <w:div w:id="1296570381">
      <w:bodyDiv w:val="1"/>
      <w:marLeft w:val="0"/>
      <w:marRight w:val="0"/>
      <w:marTop w:val="0"/>
      <w:marBottom w:val="0"/>
      <w:divBdr>
        <w:top w:val="none" w:sz="0" w:space="0" w:color="auto"/>
        <w:left w:val="none" w:sz="0" w:space="0" w:color="auto"/>
        <w:bottom w:val="none" w:sz="0" w:space="0" w:color="auto"/>
        <w:right w:val="none" w:sz="0" w:space="0" w:color="auto"/>
      </w:divBdr>
    </w:div>
    <w:div w:id="1352412975">
      <w:bodyDiv w:val="1"/>
      <w:marLeft w:val="0"/>
      <w:marRight w:val="0"/>
      <w:marTop w:val="0"/>
      <w:marBottom w:val="0"/>
      <w:divBdr>
        <w:top w:val="none" w:sz="0" w:space="0" w:color="auto"/>
        <w:left w:val="none" w:sz="0" w:space="0" w:color="auto"/>
        <w:bottom w:val="none" w:sz="0" w:space="0" w:color="auto"/>
        <w:right w:val="none" w:sz="0" w:space="0" w:color="auto"/>
      </w:divBdr>
    </w:div>
    <w:div w:id="1360744673">
      <w:bodyDiv w:val="1"/>
      <w:marLeft w:val="0"/>
      <w:marRight w:val="0"/>
      <w:marTop w:val="0"/>
      <w:marBottom w:val="0"/>
      <w:divBdr>
        <w:top w:val="none" w:sz="0" w:space="0" w:color="auto"/>
        <w:left w:val="none" w:sz="0" w:space="0" w:color="auto"/>
        <w:bottom w:val="none" w:sz="0" w:space="0" w:color="auto"/>
        <w:right w:val="none" w:sz="0" w:space="0" w:color="auto"/>
      </w:divBdr>
    </w:div>
    <w:div w:id="1372726482">
      <w:bodyDiv w:val="1"/>
      <w:marLeft w:val="0"/>
      <w:marRight w:val="0"/>
      <w:marTop w:val="0"/>
      <w:marBottom w:val="0"/>
      <w:divBdr>
        <w:top w:val="none" w:sz="0" w:space="0" w:color="auto"/>
        <w:left w:val="none" w:sz="0" w:space="0" w:color="auto"/>
        <w:bottom w:val="none" w:sz="0" w:space="0" w:color="auto"/>
        <w:right w:val="none" w:sz="0" w:space="0" w:color="auto"/>
      </w:divBdr>
    </w:div>
    <w:div w:id="1382168348">
      <w:bodyDiv w:val="1"/>
      <w:marLeft w:val="0"/>
      <w:marRight w:val="0"/>
      <w:marTop w:val="0"/>
      <w:marBottom w:val="0"/>
      <w:divBdr>
        <w:top w:val="none" w:sz="0" w:space="0" w:color="auto"/>
        <w:left w:val="none" w:sz="0" w:space="0" w:color="auto"/>
        <w:bottom w:val="none" w:sz="0" w:space="0" w:color="auto"/>
        <w:right w:val="none" w:sz="0" w:space="0" w:color="auto"/>
      </w:divBdr>
    </w:div>
    <w:div w:id="1385716541">
      <w:bodyDiv w:val="1"/>
      <w:marLeft w:val="0"/>
      <w:marRight w:val="0"/>
      <w:marTop w:val="0"/>
      <w:marBottom w:val="0"/>
      <w:divBdr>
        <w:top w:val="none" w:sz="0" w:space="0" w:color="auto"/>
        <w:left w:val="none" w:sz="0" w:space="0" w:color="auto"/>
        <w:bottom w:val="none" w:sz="0" w:space="0" w:color="auto"/>
        <w:right w:val="none" w:sz="0" w:space="0" w:color="auto"/>
      </w:divBdr>
    </w:div>
    <w:div w:id="1387528327">
      <w:bodyDiv w:val="1"/>
      <w:marLeft w:val="0"/>
      <w:marRight w:val="0"/>
      <w:marTop w:val="0"/>
      <w:marBottom w:val="0"/>
      <w:divBdr>
        <w:top w:val="none" w:sz="0" w:space="0" w:color="auto"/>
        <w:left w:val="none" w:sz="0" w:space="0" w:color="auto"/>
        <w:bottom w:val="none" w:sz="0" w:space="0" w:color="auto"/>
        <w:right w:val="none" w:sz="0" w:space="0" w:color="auto"/>
      </w:divBdr>
    </w:div>
    <w:div w:id="1421830216">
      <w:bodyDiv w:val="1"/>
      <w:marLeft w:val="0"/>
      <w:marRight w:val="0"/>
      <w:marTop w:val="0"/>
      <w:marBottom w:val="0"/>
      <w:divBdr>
        <w:top w:val="none" w:sz="0" w:space="0" w:color="auto"/>
        <w:left w:val="none" w:sz="0" w:space="0" w:color="auto"/>
        <w:bottom w:val="none" w:sz="0" w:space="0" w:color="auto"/>
        <w:right w:val="none" w:sz="0" w:space="0" w:color="auto"/>
      </w:divBdr>
    </w:div>
    <w:div w:id="1453943914">
      <w:bodyDiv w:val="1"/>
      <w:marLeft w:val="0"/>
      <w:marRight w:val="0"/>
      <w:marTop w:val="0"/>
      <w:marBottom w:val="0"/>
      <w:divBdr>
        <w:top w:val="none" w:sz="0" w:space="0" w:color="auto"/>
        <w:left w:val="none" w:sz="0" w:space="0" w:color="auto"/>
        <w:bottom w:val="none" w:sz="0" w:space="0" w:color="auto"/>
        <w:right w:val="none" w:sz="0" w:space="0" w:color="auto"/>
      </w:divBdr>
    </w:div>
    <w:div w:id="1455949528">
      <w:bodyDiv w:val="1"/>
      <w:marLeft w:val="0"/>
      <w:marRight w:val="0"/>
      <w:marTop w:val="0"/>
      <w:marBottom w:val="0"/>
      <w:divBdr>
        <w:top w:val="none" w:sz="0" w:space="0" w:color="auto"/>
        <w:left w:val="none" w:sz="0" w:space="0" w:color="auto"/>
        <w:bottom w:val="none" w:sz="0" w:space="0" w:color="auto"/>
        <w:right w:val="none" w:sz="0" w:space="0" w:color="auto"/>
      </w:divBdr>
    </w:div>
    <w:div w:id="1540161551">
      <w:bodyDiv w:val="1"/>
      <w:marLeft w:val="0"/>
      <w:marRight w:val="0"/>
      <w:marTop w:val="0"/>
      <w:marBottom w:val="0"/>
      <w:divBdr>
        <w:top w:val="none" w:sz="0" w:space="0" w:color="auto"/>
        <w:left w:val="none" w:sz="0" w:space="0" w:color="auto"/>
        <w:bottom w:val="none" w:sz="0" w:space="0" w:color="auto"/>
        <w:right w:val="none" w:sz="0" w:space="0" w:color="auto"/>
      </w:divBdr>
    </w:div>
    <w:div w:id="1547638701">
      <w:bodyDiv w:val="1"/>
      <w:marLeft w:val="0"/>
      <w:marRight w:val="0"/>
      <w:marTop w:val="0"/>
      <w:marBottom w:val="0"/>
      <w:divBdr>
        <w:top w:val="none" w:sz="0" w:space="0" w:color="auto"/>
        <w:left w:val="none" w:sz="0" w:space="0" w:color="auto"/>
        <w:bottom w:val="none" w:sz="0" w:space="0" w:color="auto"/>
        <w:right w:val="none" w:sz="0" w:space="0" w:color="auto"/>
      </w:divBdr>
    </w:div>
    <w:div w:id="1564632941">
      <w:bodyDiv w:val="1"/>
      <w:marLeft w:val="0"/>
      <w:marRight w:val="0"/>
      <w:marTop w:val="0"/>
      <w:marBottom w:val="0"/>
      <w:divBdr>
        <w:top w:val="none" w:sz="0" w:space="0" w:color="auto"/>
        <w:left w:val="none" w:sz="0" w:space="0" w:color="auto"/>
        <w:bottom w:val="none" w:sz="0" w:space="0" w:color="auto"/>
        <w:right w:val="none" w:sz="0" w:space="0" w:color="auto"/>
      </w:divBdr>
    </w:div>
    <w:div w:id="1610969348">
      <w:bodyDiv w:val="1"/>
      <w:marLeft w:val="0"/>
      <w:marRight w:val="0"/>
      <w:marTop w:val="0"/>
      <w:marBottom w:val="0"/>
      <w:divBdr>
        <w:top w:val="none" w:sz="0" w:space="0" w:color="auto"/>
        <w:left w:val="none" w:sz="0" w:space="0" w:color="auto"/>
        <w:bottom w:val="none" w:sz="0" w:space="0" w:color="auto"/>
        <w:right w:val="none" w:sz="0" w:space="0" w:color="auto"/>
      </w:divBdr>
    </w:div>
    <w:div w:id="1616710962">
      <w:bodyDiv w:val="1"/>
      <w:marLeft w:val="0"/>
      <w:marRight w:val="0"/>
      <w:marTop w:val="0"/>
      <w:marBottom w:val="0"/>
      <w:divBdr>
        <w:top w:val="none" w:sz="0" w:space="0" w:color="auto"/>
        <w:left w:val="none" w:sz="0" w:space="0" w:color="auto"/>
        <w:bottom w:val="none" w:sz="0" w:space="0" w:color="auto"/>
        <w:right w:val="none" w:sz="0" w:space="0" w:color="auto"/>
      </w:divBdr>
    </w:div>
    <w:div w:id="1650403560">
      <w:bodyDiv w:val="1"/>
      <w:marLeft w:val="0"/>
      <w:marRight w:val="0"/>
      <w:marTop w:val="0"/>
      <w:marBottom w:val="0"/>
      <w:divBdr>
        <w:top w:val="none" w:sz="0" w:space="0" w:color="auto"/>
        <w:left w:val="none" w:sz="0" w:space="0" w:color="auto"/>
        <w:bottom w:val="none" w:sz="0" w:space="0" w:color="auto"/>
        <w:right w:val="none" w:sz="0" w:space="0" w:color="auto"/>
      </w:divBdr>
    </w:div>
    <w:div w:id="1676959050">
      <w:bodyDiv w:val="1"/>
      <w:marLeft w:val="0"/>
      <w:marRight w:val="0"/>
      <w:marTop w:val="0"/>
      <w:marBottom w:val="0"/>
      <w:divBdr>
        <w:top w:val="none" w:sz="0" w:space="0" w:color="auto"/>
        <w:left w:val="none" w:sz="0" w:space="0" w:color="auto"/>
        <w:bottom w:val="none" w:sz="0" w:space="0" w:color="auto"/>
        <w:right w:val="none" w:sz="0" w:space="0" w:color="auto"/>
      </w:divBdr>
    </w:div>
    <w:div w:id="1718629955">
      <w:bodyDiv w:val="1"/>
      <w:marLeft w:val="0"/>
      <w:marRight w:val="0"/>
      <w:marTop w:val="0"/>
      <w:marBottom w:val="0"/>
      <w:divBdr>
        <w:top w:val="none" w:sz="0" w:space="0" w:color="auto"/>
        <w:left w:val="none" w:sz="0" w:space="0" w:color="auto"/>
        <w:bottom w:val="none" w:sz="0" w:space="0" w:color="auto"/>
        <w:right w:val="none" w:sz="0" w:space="0" w:color="auto"/>
      </w:divBdr>
    </w:div>
    <w:div w:id="1736390938">
      <w:bodyDiv w:val="1"/>
      <w:marLeft w:val="0"/>
      <w:marRight w:val="0"/>
      <w:marTop w:val="0"/>
      <w:marBottom w:val="0"/>
      <w:divBdr>
        <w:top w:val="none" w:sz="0" w:space="0" w:color="auto"/>
        <w:left w:val="none" w:sz="0" w:space="0" w:color="auto"/>
        <w:bottom w:val="none" w:sz="0" w:space="0" w:color="auto"/>
        <w:right w:val="none" w:sz="0" w:space="0" w:color="auto"/>
      </w:divBdr>
    </w:div>
    <w:div w:id="1736508493">
      <w:bodyDiv w:val="1"/>
      <w:marLeft w:val="0"/>
      <w:marRight w:val="0"/>
      <w:marTop w:val="0"/>
      <w:marBottom w:val="0"/>
      <w:divBdr>
        <w:top w:val="none" w:sz="0" w:space="0" w:color="auto"/>
        <w:left w:val="none" w:sz="0" w:space="0" w:color="auto"/>
        <w:bottom w:val="none" w:sz="0" w:space="0" w:color="auto"/>
        <w:right w:val="none" w:sz="0" w:space="0" w:color="auto"/>
      </w:divBdr>
    </w:div>
    <w:div w:id="1770464273">
      <w:bodyDiv w:val="1"/>
      <w:marLeft w:val="0"/>
      <w:marRight w:val="0"/>
      <w:marTop w:val="0"/>
      <w:marBottom w:val="0"/>
      <w:divBdr>
        <w:top w:val="none" w:sz="0" w:space="0" w:color="auto"/>
        <w:left w:val="none" w:sz="0" w:space="0" w:color="auto"/>
        <w:bottom w:val="none" w:sz="0" w:space="0" w:color="auto"/>
        <w:right w:val="none" w:sz="0" w:space="0" w:color="auto"/>
      </w:divBdr>
    </w:div>
    <w:div w:id="1771773863">
      <w:bodyDiv w:val="1"/>
      <w:marLeft w:val="0"/>
      <w:marRight w:val="0"/>
      <w:marTop w:val="0"/>
      <w:marBottom w:val="0"/>
      <w:divBdr>
        <w:top w:val="none" w:sz="0" w:space="0" w:color="auto"/>
        <w:left w:val="none" w:sz="0" w:space="0" w:color="auto"/>
        <w:bottom w:val="none" w:sz="0" w:space="0" w:color="auto"/>
        <w:right w:val="none" w:sz="0" w:space="0" w:color="auto"/>
      </w:divBdr>
    </w:div>
    <w:div w:id="1814709559">
      <w:bodyDiv w:val="1"/>
      <w:marLeft w:val="0"/>
      <w:marRight w:val="0"/>
      <w:marTop w:val="0"/>
      <w:marBottom w:val="0"/>
      <w:divBdr>
        <w:top w:val="none" w:sz="0" w:space="0" w:color="auto"/>
        <w:left w:val="none" w:sz="0" w:space="0" w:color="auto"/>
        <w:bottom w:val="none" w:sz="0" w:space="0" w:color="auto"/>
        <w:right w:val="none" w:sz="0" w:space="0" w:color="auto"/>
      </w:divBdr>
    </w:div>
    <w:div w:id="1816797672">
      <w:bodyDiv w:val="1"/>
      <w:marLeft w:val="0"/>
      <w:marRight w:val="0"/>
      <w:marTop w:val="0"/>
      <w:marBottom w:val="0"/>
      <w:divBdr>
        <w:top w:val="none" w:sz="0" w:space="0" w:color="auto"/>
        <w:left w:val="none" w:sz="0" w:space="0" w:color="auto"/>
        <w:bottom w:val="none" w:sz="0" w:space="0" w:color="auto"/>
        <w:right w:val="none" w:sz="0" w:space="0" w:color="auto"/>
      </w:divBdr>
    </w:div>
    <w:div w:id="1835683558">
      <w:bodyDiv w:val="1"/>
      <w:marLeft w:val="0"/>
      <w:marRight w:val="0"/>
      <w:marTop w:val="0"/>
      <w:marBottom w:val="0"/>
      <w:divBdr>
        <w:top w:val="none" w:sz="0" w:space="0" w:color="auto"/>
        <w:left w:val="none" w:sz="0" w:space="0" w:color="auto"/>
        <w:bottom w:val="none" w:sz="0" w:space="0" w:color="auto"/>
        <w:right w:val="none" w:sz="0" w:space="0" w:color="auto"/>
      </w:divBdr>
    </w:div>
    <w:div w:id="1839493766">
      <w:bodyDiv w:val="1"/>
      <w:marLeft w:val="0"/>
      <w:marRight w:val="0"/>
      <w:marTop w:val="0"/>
      <w:marBottom w:val="0"/>
      <w:divBdr>
        <w:top w:val="none" w:sz="0" w:space="0" w:color="auto"/>
        <w:left w:val="none" w:sz="0" w:space="0" w:color="auto"/>
        <w:bottom w:val="none" w:sz="0" w:space="0" w:color="auto"/>
        <w:right w:val="none" w:sz="0" w:space="0" w:color="auto"/>
      </w:divBdr>
    </w:div>
    <w:div w:id="1852141268">
      <w:bodyDiv w:val="1"/>
      <w:marLeft w:val="0"/>
      <w:marRight w:val="0"/>
      <w:marTop w:val="0"/>
      <w:marBottom w:val="0"/>
      <w:divBdr>
        <w:top w:val="none" w:sz="0" w:space="0" w:color="auto"/>
        <w:left w:val="none" w:sz="0" w:space="0" w:color="auto"/>
        <w:bottom w:val="none" w:sz="0" w:space="0" w:color="auto"/>
        <w:right w:val="none" w:sz="0" w:space="0" w:color="auto"/>
      </w:divBdr>
    </w:div>
    <w:div w:id="1862040495">
      <w:bodyDiv w:val="1"/>
      <w:marLeft w:val="0"/>
      <w:marRight w:val="0"/>
      <w:marTop w:val="0"/>
      <w:marBottom w:val="0"/>
      <w:divBdr>
        <w:top w:val="none" w:sz="0" w:space="0" w:color="auto"/>
        <w:left w:val="none" w:sz="0" w:space="0" w:color="auto"/>
        <w:bottom w:val="none" w:sz="0" w:space="0" w:color="auto"/>
        <w:right w:val="none" w:sz="0" w:space="0" w:color="auto"/>
      </w:divBdr>
    </w:div>
    <w:div w:id="1893616071">
      <w:bodyDiv w:val="1"/>
      <w:marLeft w:val="0"/>
      <w:marRight w:val="0"/>
      <w:marTop w:val="0"/>
      <w:marBottom w:val="0"/>
      <w:divBdr>
        <w:top w:val="none" w:sz="0" w:space="0" w:color="auto"/>
        <w:left w:val="none" w:sz="0" w:space="0" w:color="auto"/>
        <w:bottom w:val="none" w:sz="0" w:space="0" w:color="auto"/>
        <w:right w:val="none" w:sz="0" w:space="0" w:color="auto"/>
      </w:divBdr>
    </w:div>
    <w:div w:id="1942562131">
      <w:bodyDiv w:val="1"/>
      <w:marLeft w:val="0"/>
      <w:marRight w:val="0"/>
      <w:marTop w:val="0"/>
      <w:marBottom w:val="0"/>
      <w:divBdr>
        <w:top w:val="none" w:sz="0" w:space="0" w:color="auto"/>
        <w:left w:val="none" w:sz="0" w:space="0" w:color="auto"/>
        <w:bottom w:val="none" w:sz="0" w:space="0" w:color="auto"/>
        <w:right w:val="none" w:sz="0" w:space="0" w:color="auto"/>
      </w:divBdr>
    </w:div>
    <w:div w:id="1945768204">
      <w:bodyDiv w:val="1"/>
      <w:marLeft w:val="0"/>
      <w:marRight w:val="0"/>
      <w:marTop w:val="0"/>
      <w:marBottom w:val="0"/>
      <w:divBdr>
        <w:top w:val="none" w:sz="0" w:space="0" w:color="auto"/>
        <w:left w:val="none" w:sz="0" w:space="0" w:color="auto"/>
        <w:bottom w:val="none" w:sz="0" w:space="0" w:color="auto"/>
        <w:right w:val="none" w:sz="0" w:space="0" w:color="auto"/>
      </w:divBdr>
    </w:div>
    <w:div w:id="1963464244">
      <w:bodyDiv w:val="1"/>
      <w:marLeft w:val="0"/>
      <w:marRight w:val="0"/>
      <w:marTop w:val="0"/>
      <w:marBottom w:val="0"/>
      <w:divBdr>
        <w:top w:val="none" w:sz="0" w:space="0" w:color="auto"/>
        <w:left w:val="none" w:sz="0" w:space="0" w:color="auto"/>
        <w:bottom w:val="none" w:sz="0" w:space="0" w:color="auto"/>
        <w:right w:val="none" w:sz="0" w:space="0" w:color="auto"/>
      </w:divBdr>
    </w:div>
    <w:div w:id="1969161866">
      <w:bodyDiv w:val="1"/>
      <w:marLeft w:val="0"/>
      <w:marRight w:val="0"/>
      <w:marTop w:val="0"/>
      <w:marBottom w:val="0"/>
      <w:divBdr>
        <w:top w:val="none" w:sz="0" w:space="0" w:color="auto"/>
        <w:left w:val="none" w:sz="0" w:space="0" w:color="auto"/>
        <w:bottom w:val="none" w:sz="0" w:space="0" w:color="auto"/>
        <w:right w:val="none" w:sz="0" w:space="0" w:color="auto"/>
      </w:divBdr>
    </w:div>
    <w:div w:id="1991447611">
      <w:bodyDiv w:val="1"/>
      <w:marLeft w:val="0"/>
      <w:marRight w:val="0"/>
      <w:marTop w:val="0"/>
      <w:marBottom w:val="0"/>
      <w:divBdr>
        <w:top w:val="none" w:sz="0" w:space="0" w:color="auto"/>
        <w:left w:val="none" w:sz="0" w:space="0" w:color="auto"/>
        <w:bottom w:val="none" w:sz="0" w:space="0" w:color="auto"/>
        <w:right w:val="none" w:sz="0" w:space="0" w:color="auto"/>
      </w:divBdr>
      <w:divsChild>
        <w:div w:id="962078693">
          <w:marLeft w:val="0"/>
          <w:marRight w:val="0"/>
          <w:marTop w:val="0"/>
          <w:marBottom w:val="0"/>
          <w:divBdr>
            <w:top w:val="none" w:sz="0" w:space="0" w:color="auto"/>
            <w:left w:val="none" w:sz="0" w:space="0" w:color="auto"/>
            <w:bottom w:val="none" w:sz="0" w:space="0" w:color="auto"/>
            <w:right w:val="none" w:sz="0" w:space="0" w:color="auto"/>
          </w:divBdr>
          <w:divsChild>
            <w:div w:id="1594164356">
              <w:marLeft w:val="0"/>
              <w:marRight w:val="0"/>
              <w:marTop w:val="0"/>
              <w:marBottom w:val="0"/>
              <w:divBdr>
                <w:top w:val="none" w:sz="0" w:space="0" w:color="auto"/>
                <w:left w:val="none" w:sz="0" w:space="0" w:color="auto"/>
                <w:bottom w:val="none" w:sz="0" w:space="0" w:color="auto"/>
                <w:right w:val="none" w:sz="0" w:space="0" w:color="auto"/>
              </w:divBdr>
              <w:divsChild>
                <w:div w:id="1704591823">
                  <w:marLeft w:val="0"/>
                  <w:marRight w:val="0"/>
                  <w:marTop w:val="0"/>
                  <w:marBottom w:val="0"/>
                  <w:divBdr>
                    <w:top w:val="none" w:sz="0" w:space="0" w:color="auto"/>
                    <w:left w:val="none" w:sz="0" w:space="0" w:color="auto"/>
                    <w:bottom w:val="none" w:sz="0" w:space="0" w:color="auto"/>
                    <w:right w:val="none" w:sz="0" w:space="0" w:color="auto"/>
                  </w:divBdr>
                  <w:divsChild>
                    <w:div w:id="605699566">
                      <w:marLeft w:val="0"/>
                      <w:marRight w:val="-105"/>
                      <w:marTop w:val="0"/>
                      <w:marBottom w:val="0"/>
                      <w:divBdr>
                        <w:top w:val="none" w:sz="0" w:space="0" w:color="auto"/>
                        <w:left w:val="none" w:sz="0" w:space="0" w:color="auto"/>
                        <w:bottom w:val="none" w:sz="0" w:space="0" w:color="auto"/>
                        <w:right w:val="none" w:sz="0" w:space="0" w:color="auto"/>
                      </w:divBdr>
                      <w:divsChild>
                        <w:div w:id="1312710857">
                          <w:marLeft w:val="0"/>
                          <w:marRight w:val="0"/>
                          <w:marTop w:val="0"/>
                          <w:marBottom w:val="0"/>
                          <w:divBdr>
                            <w:top w:val="none" w:sz="0" w:space="0" w:color="auto"/>
                            <w:left w:val="none" w:sz="0" w:space="0" w:color="auto"/>
                            <w:bottom w:val="none" w:sz="0" w:space="0" w:color="auto"/>
                            <w:right w:val="none" w:sz="0" w:space="0" w:color="auto"/>
                          </w:divBdr>
                          <w:divsChild>
                            <w:div w:id="659578188">
                              <w:marLeft w:val="0"/>
                              <w:marRight w:val="0"/>
                              <w:marTop w:val="600"/>
                              <w:marBottom w:val="0"/>
                              <w:divBdr>
                                <w:top w:val="none" w:sz="0" w:space="0" w:color="auto"/>
                                <w:left w:val="none" w:sz="0" w:space="0" w:color="auto"/>
                                <w:bottom w:val="none" w:sz="0" w:space="0" w:color="auto"/>
                                <w:right w:val="none" w:sz="0" w:space="0" w:color="auto"/>
                              </w:divBdr>
                              <w:divsChild>
                                <w:div w:id="394360177">
                                  <w:marLeft w:val="0"/>
                                  <w:marRight w:val="0"/>
                                  <w:marTop w:val="0"/>
                                  <w:marBottom w:val="0"/>
                                  <w:divBdr>
                                    <w:top w:val="none" w:sz="0" w:space="0" w:color="auto"/>
                                    <w:left w:val="none" w:sz="0" w:space="0" w:color="auto"/>
                                    <w:bottom w:val="none" w:sz="0" w:space="0" w:color="auto"/>
                                    <w:right w:val="none" w:sz="0" w:space="0" w:color="auto"/>
                                  </w:divBdr>
                                  <w:divsChild>
                                    <w:div w:id="909921056">
                                      <w:marLeft w:val="750"/>
                                      <w:marRight w:val="0"/>
                                      <w:marTop w:val="0"/>
                                      <w:marBottom w:val="0"/>
                                      <w:divBdr>
                                        <w:top w:val="none" w:sz="0" w:space="0" w:color="auto"/>
                                        <w:left w:val="none" w:sz="0" w:space="0" w:color="auto"/>
                                        <w:bottom w:val="none" w:sz="0" w:space="0" w:color="auto"/>
                                        <w:right w:val="none" w:sz="0" w:space="0" w:color="auto"/>
                                      </w:divBdr>
                                      <w:divsChild>
                                        <w:div w:id="276066653">
                                          <w:marLeft w:val="0"/>
                                          <w:marRight w:val="0"/>
                                          <w:marTop w:val="0"/>
                                          <w:marBottom w:val="0"/>
                                          <w:divBdr>
                                            <w:top w:val="none" w:sz="0" w:space="0" w:color="auto"/>
                                            <w:left w:val="none" w:sz="0" w:space="0" w:color="auto"/>
                                            <w:bottom w:val="none" w:sz="0" w:space="0" w:color="auto"/>
                                            <w:right w:val="none" w:sz="0" w:space="0" w:color="auto"/>
                                          </w:divBdr>
                                          <w:divsChild>
                                            <w:div w:id="1368682534">
                                              <w:marLeft w:val="0"/>
                                              <w:marRight w:val="0"/>
                                              <w:marTop w:val="0"/>
                                              <w:marBottom w:val="0"/>
                                              <w:divBdr>
                                                <w:top w:val="none" w:sz="0" w:space="0" w:color="auto"/>
                                                <w:left w:val="none" w:sz="0" w:space="0" w:color="auto"/>
                                                <w:bottom w:val="none" w:sz="0" w:space="0" w:color="auto"/>
                                                <w:right w:val="none" w:sz="0" w:space="0" w:color="auto"/>
                                              </w:divBdr>
                                              <w:divsChild>
                                                <w:div w:id="1895923232">
                                                  <w:marLeft w:val="0"/>
                                                  <w:marRight w:val="0"/>
                                                  <w:marTop w:val="0"/>
                                                  <w:marBottom w:val="0"/>
                                                  <w:divBdr>
                                                    <w:top w:val="none" w:sz="0" w:space="0" w:color="auto"/>
                                                    <w:left w:val="none" w:sz="0" w:space="0" w:color="auto"/>
                                                    <w:bottom w:val="none" w:sz="0" w:space="0" w:color="auto"/>
                                                    <w:right w:val="none" w:sz="0" w:space="0" w:color="auto"/>
                                                  </w:divBdr>
                                                  <w:divsChild>
                                                    <w:div w:id="1473787761">
                                                      <w:marLeft w:val="0"/>
                                                      <w:marRight w:val="0"/>
                                                      <w:marTop w:val="0"/>
                                                      <w:marBottom w:val="0"/>
                                                      <w:divBdr>
                                                        <w:top w:val="none" w:sz="0" w:space="0" w:color="auto"/>
                                                        <w:left w:val="none" w:sz="0" w:space="0" w:color="auto"/>
                                                        <w:bottom w:val="none" w:sz="0" w:space="0" w:color="auto"/>
                                                        <w:right w:val="none" w:sz="0" w:space="0" w:color="auto"/>
                                                      </w:divBdr>
                                                      <w:divsChild>
                                                        <w:div w:id="1901017414">
                                                          <w:marLeft w:val="0"/>
                                                          <w:marRight w:val="0"/>
                                                          <w:marTop w:val="0"/>
                                                          <w:marBottom w:val="0"/>
                                                          <w:divBdr>
                                                            <w:top w:val="none" w:sz="0" w:space="0" w:color="auto"/>
                                                            <w:left w:val="none" w:sz="0" w:space="0" w:color="auto"/>
                                                            <w:bottom w:val="none" w:sz="0" w:space="0" w:color="auto"/>
                                                            <w:right w:val="none" w:sz="0" w:space="0" w:color="auto"/>
                                                          </w:divBdr>
                                                          <w:divsChild>
                                                            <w:div w:id="1681664076">
                                                              <w:marLeft w:val="0"/>
                                                              <w:marRight w:val="0"/>
                                                              <w:marTop w:val="0"/>
                                                              <w:marBottom w:val="0"/>
                                                              <w:divBdr>
                                                                <w:top w:val="none" w:sz="0" w:space="0" w:color="auto"/>
                                                                <w:left w:val="none" w:sz="0" w:space="0" w:color="auto"/>
                                                                <w:bottom w:val="none" w:sz="0" w:space="0" w:color="auto"/>
                                                                <w:right w:val="none" w:sz="0" w:space="0" w:color="auto"/>
                                                              </w:divBdr>
                                                              <w:divsChild>
                                                                <w:div w:id="1060789831">
                                                                  <w:marLeft w:val="0"/>
                                                                  <w:marRight w:val="0"/>
                                                                  <w:marTop w:val="0"/>
                                                                  <w:marBottom w:val="0"/>
                                                                  <w:divBdr>
                                                                    <w:top w:val="none" w:sz="0" w:space="0" w:color="auto"/>
                                                                    <w:left w:val="none" w:sz="0" w:space="0" w:color="auto"/>
                                                                    <w:bottom w:val="none" w:sz="0" w:space="0" w:color="auto"/>
                                                                    <w:right w:val="none" w:sz="0" w:space="0" w:color="auto"/>
                                                                  </w:divBdr>
                                                                  <w:divsChild>
                                                                    <w:div w:id="520246039">
                                                                      <w:marLeft w:val="0"/>
                                                                      <w:marRight w:val="0"/>
                                                                      <w:marTop w:val="0"/>
                                                                      <w:marBottom w:val="0"/>
                                                                      <w:divBdr>
                                                                        <w:top w:val="none" w:sz="0" w:space="0" w:color="auto"/>
                                                                        <w:left w:val="none" w:sz="0" w:space="0" w:color="auto"/>
                                                                        <w:bottom w:val="none" w:sz="0" w:space="0" w:color="auto"/>
                                                                        <w:right w:val="none" w:sz="0" w:space="0" w:color="auto"/>
                                                                      </w:divBdr>
                                                                      <w:divsChild>
                                                                        <w:div w:id="1108810578">
                                                                          <w:marLeft w:val="0"/>
                                                                          <w:marRight w:val="0"/>
                                                                          <w:marTop w:val="0"/>
                                                                          <w:marBottom w:val="0"/>
                                                                          <w:divBdr>
                                                                            <w:top w:val="none" w:sz="0" w:space="0" w:color="auto"/>
                                                                            <w:left w:val="none" w:sz="0" w:space="0" w:color="auto"/>
                                                                            <w:bottom w:val="none" w:sz="0" w:space="0" w:color="auto"/>
                                                                            <w:right w:val="none" w:sz="0" w:space="0" w:color="auto"/>
                                                                          </w:divBdr>
                                                                          <w:divsChild>
                                                                            <w:div w:id="1921794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32423832">
          <w:marLeft w:val="0"/>
          <w:marRight w:val="0"/>
          <w:marTop w:val="0"/>
          <w:marBottom w:val="0"/>
          <w:divBdr>
            <w:top w:val="none" w:sz="0" w:space="0" w:color="auto"/>
            <w:left w:val="none" w:sz="0" w:space="0" w:color="auto"/>
            <w:bottom w:val="none" w:sz="0" w:space="0" w:color="auto"/>
            <w:right w:val="none" w:sz="0" w:space="0" w:color="auto"/>
          </w:divBdr>
          <w:divsChild>
            <w:div w:id="890922643">
              <w:marLeft w:val="0"/>
              <w:marRight w:val="0"/>
              <w:marTop w:val="0"/>
              <w:marBottom w:val="0"/>
              <w:divBdr>
                <w:top w:val="none" w:sz="0" w:space="0" w:color="auto"/>
                <w:left w:val="none" w:sz="0" w:space="0" w:color="auto"/>
                <w:bottom w:val="none" w:sz="0" w:space="0" w:color="auto"/>
                <w:right w:val="none" w:sz="0" w:space="0" w:color="auto"/>
              </w:divBdr>
              <w:divsChild>
                <w:div w:id="736972146">
                  <w:marLeft w:val="0"/>
                  <w:marRight w:val="0"/>
                  <w:marTop w:val="0"/>
                  <w:marBottom w:val="0"/>
                  <w:divBdr>
                    <w:top w:val="none" w:sz="0" w:space="0" w:color="auto"/>
                    <w:left w:val="none" w:sz="0" w:space="0" w:color="auto"/>
                    <w:bottom w:val="none" w:sz="0" w:space="0" w:color="auto"/>
                    <w:right w:val="none" w:sz="0" w:space="0" w:color="auto"/>
                  </w:divBdr>
                </w:div>
              </w:divsChild>
            </w:div>
            <w:div w:id="1473250585">
              <w:marLeft w:val="0"/>
              <w:marRight w:val="0"/>
              <w:marTop w:val="0"/>
              <w:marBottom w:val="0"/>
              <w:divBdr>
                <w:top w:val="none" w:sz="0" w:space="0" w:color="auto"/>
                <w:left w:val="none" w:sz="0" w:space="0" w:color="auto"/>
                <w:bottom w:val="none" w:sz="0" w:space="0" w:color="auto"/>
                <w:right w:val="none" w:sz="0" w:space="0" w:color="auto"/>
              </w:divBdr>
              <w:divsChild>
                <w:div w:id="351886231">
                  <w:marLeft w:val="0"/>
                  <w:marRight w:val="0"/>
                  <w:marTop w:val="0"/>
                  <w:marBottom w:val="0"/>
                  <w:divBdr>
                    <w:top w:val="none" w:sz="0" w:space="0" w:color="auto"/>
                    <w:left w:val="none" w:sz="0" w:space="0" w:color="auto"/>
                    <w:bottom w:val="none" w:sz="0" w:space="0" w:color="auto"/>
                    <w:right w:val="none" w:sz="0" w:space="0" w:color="auto"/>
                  </w:divBdr>
                  <w:divsChild>
                    <w:div w:id="932476216">
                      <w:marLeft w:val="0"/>
                      <w:marRight w:val="0"/>
                      <w:marTop w:val="0"/>
                      <w:marBottom w:val="0"/>
                      <w:divBdr>
                        <w:top w:val="none" w:sz="0" w:space="0" w:color="auto"/>
                        <w:left w:val="none" w:sz="0" w:space="0" w:color="auto"/>
                        <w:bottom w:val="none" w:sz="0" w:space="0" w:color="auto"/>
                        <w:right w:val="none" w:sz="0" w:space="0" w:color="auto"/>
                      </w:divBdr>
                      <w:divsChild>
                        <w:div w:id="373967078">
                          <w:marLeft w:val="0"/>
                          <w:marRight w:val="0"/>
                          <w:marTop w:val="0"/>
                          <w:marBottom w:val="0"/>
                          <w:divBdr>
                            <w:top w:val="none" w:sz="0" w:space="0" w:color="auto"/>
                            <w:left w:val="none" w:sz="0" w:space="0" w:color="auto"/>
                            <w:bottom w:val="none" w:sz="0" w:space="0" w:color="auto"/>
                            <w:right w:val="none" w:sz="0" w:space="0" w:color="auto"/>
                          </w:divBdr>
                          <w:divsChild>
                            <w:div w:id="667247960">
                              <w:marLeft w:val="0"/>
                              <w:marRight w:val="0"/>
                              <w:marTop w:val="0"/>
                              <w:marBottom w:val="0"/>
                              <w:divBdr>
                                <w:top w:val="none" w:sz="0" w:space="0" w:color="auto"/>
                                <w:left w:val="none" w:sz="0" w:space="0" w:color="auto"/>
                                <w:bottom w:val="none" w:sz="0" w:space="0" w:color="auto"/>
                                <w:right w:val="none" w:sz="0" w:space="0" w:color="auto"/>
                              </w:divBdr>
                              <w:divsChild>
                                <w:div w:id="569123800">
                                  <w:marLeft w:val="0"/>
                                  <w:marRight w:val="0"/>
                                  <w:marTop w:val="0"/>
                                  <w:marBottom w:val="0"/>
                                  <w:divBdr>
                                    <w:top w:val="none" w:sz="0" w:space="0" w:color="auto"/>
                                    <w:left w:val="none" w:sz="0" w:space="0" w:color="auto"/>
                                    <w:bottom w:val="none" w:sz="0" w:space="0" w:color="auto"/>
                                    <w:right w:val="none" w:sz="0" w:space="0" w:color="auto"/>
                                  </w:divBdr>
                                  <w:divsChild>
                                    <w:div w:id="1337659063">
                                      <w:marLeft w:val="0"/>
                                      <w:marRight w:val="0"/>
                                      <w:marTop w:val="0"/>
                                      <w:marBottom w:val="0"/>
                                      <w:divBdr>
                                        <w:top w:val="none" w:sz="0" w:space="0" w:color="auto"/>
                                        <w:left w:val="none" w:sz="0" w:space="0" w:color="auto"/>
                                        <w:bottom w:val="none" w:sz="0" w:space="0" w:color="auto"/>
                                        <w:right w:val="none" w:sz="0" w:space="0" w:color="auto"/>
                                      </w:divBdr>
                                      <w:divsChild>
                                        <w:div w:id="944576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8457962">
      <w:bodyDiv w:val="1"/>
      <w:marLeft w:val="0"/>
      <w:marRight w:val="0"/>
      <w:marTop w:val="0"/>
      <w:marBottom w:val="0"/>
      <w:divBdr>
        <w:top w:val="none" w:sz="0" w:space="0" w:color="auto"/>
        <w:left w:val="none" w:sz="0" w:space="0" w:color="auto"/>
        <w:bottom w:val="none" w:sz="0" w:space="0" w:color="auto"/>
        <w:right w:val="none" w:sz="0" w:space="0" w:color="auto"/>
      </w:divBdr>
    </w:div>
    <w:div w:id="2022664835">
      <w:bodyDiv w:val="1"/>
      <w:marLeft w:val="0"/>
      <w:marRight w:val="0"/>
      <w:marTop w:val="0"/>
      <w:marBottom w:val="0"/>
      <w:divBdr>
        <w:top w:val="none" w:sz="0" w:space="0" w:color="auto"/>
        <w:left w:val="none" w:sz="0" w:space="0" w:color="auto"/>
        <w:bottom w:val="none" w:sz="0" w:space="0" w:color="auto"/>
        <w:right w:val="none" w:sz="0" w:space="0" w:color="auto"/>
      </w:divBdr>
    </w:div>
    <w:div w:id="2031102814">
      <w:bodyDiv w:val="1"/>
      <w:marLeft w:val="0"/>
      <w:marRight w:val="0"/>
      <w:marTop w:val="0"/>
      <w:marBottom w:val="0"/>
      <w:divBdr>
        <w:top w:val="none" w:sz="0" w:space="0" w:color="auto"/>
        <w:left w:val="none" w:sz="0" w:space="0" w:color="auto"/>
        <w:bottom w:val="none" w:sz="0" w:space="0" w:color="auto"/>
        <w:right w:val="none" w:sz="0" w:space="0" w:color="auto"/>
      </w:divBdr>
    </w:div>
    <w:div w:id="2063794952">
      <w:bodyDiv w:val="1"/>
      <w:marLeft w:val="0"/>
      <w:marRight w:val="0"/>
      <w:marTop w:val="0"/>
      <w:marBottom w:val="0"/>
      <w:divBdr>
        <w:top w:val="none" w:sz="0" w:space="0" w:color="auto"/>
        <w:left w:val="none" w:sz="0" w:space="0" w:color="auto"/>
        <w:bottom w:val="none" w:sz="0" w:space="0" w:color="auto"/>
        <w:right w:val="none" w:sz="0" w:space="0" w:color="auto"/>
      </w:divBdr>
    </w:div>
    <w:div w:id="2068649888">
      <w:bodyDiv w:val="1"/>
      <w:marLeft w:val="0"/>
      <w:marRight w:val="0"/>
      <w:marTop w:val="0"/>
      <w:marBottom w:val="0"/>
      <w:divBdr>
        <w:top w:val="none" w:sz="0" w:space="0" w:color="auto"/>
        <w:left w:val="none" w:sz="0" w:space="0" w:color="auto"/>
        <w:bottom w:val="none" w:sz="0" w:space="0" w:color="auto"/>
        <w:right w:val="none" w:sz="0" w:space="0" w:color="auto"/>
      </w:divBdr>
    </w:div>
    <w:div w:id="2096246966">
      <w:bodyDiv w:val="1"/>
      <w:marLeft w:val="0"/>
      <w:marRight w:val="0"/>
      <w:marTop w:val="0"/>
      <w:marBottom w:val="0"/>
      <w:divBdr>
        <w:top w:val="none" w:sz="0" w:space="0" w:color="auto"/>
        <w:left w:val="none" w:sz="0" w:space="0" w:color="auto"/>
        <w:bottom w:val="none" w:sz="0" w:space="0" w:color="auto"/>
        <w:right w:val="none" w:sz="0" w:space="0" w:color="auto"/>
      </w:divBdr>
    </w:div>
    <w:div w:id="2096658147">
      <w:bodyDiv w:val="1"/>
      <w:marLeft w:val="0"/>
      <w:marRight w:val="0"/>
      <w:marTop w:val="0"/>
      <w:marBottom w:val="0"/>
      <w:divBdr>
        <w:top w:val="none" w:sz="0" w:space="0" w:color="auto"/>
        <w:left w:val="none" w:sz="0" w:space="0" w:color="auto"/>
        <w:bottom w:val="none" w:sz="0" w:space="0" w:color="auto"/>
        <w:right w:val="none" w:sz="0" w:space="0" w:color="auto"/>
      </w:divBdr>
    </w:div>
    <w:div w:id="2121144818">
      <w:bodyDiv w:val="1"/>
      <w:marLeft w:val="0"/>
      <w:marRight w:val="0"/>
      <w:marTop w:val="0"/>
      <w:marBottom w:val="0"/>
      <w:divBdr>
        <w:top w:val="none" w:sz="0" w:space="0" w:color="auto"/>
        <w:left w:val="none" w:sz="0" w:space="0" w:color="auto"/>
        <w:bottom w:val="none" w:sz="0" w:space="0" w:color="auto"/>
        <w:right w:val="none" w:sz="0" w:space="0" w:color="auto"/>
      </w:divBdr>
    </w:div>
    <w:div w:id="2123726636">
      <w:bodyDiv w:val="1"/>
      <w:marLeft w:val="0"/>
      <w:marRight w:val="0"/>
      <w:marTop w:val="0"/>
      <w:marBottom w:val="0"/>
      <w:divBdr>
        <w:top w:val="none" w:sz="0" w:space="0" w:color="auto"/>
        <w:left w:val="none" w:sz="0" w:space="0" w:color="auto"/>
        <w:bottom w:val="none" w:sz="0" w:space="0" w:color="auto"/>
        <w:right w:val="none" w:sz="0" w:space="0" w:color="auto"/>
      </w:divBdr>
    </w:div>
    <w:div w:id="2135248631">
      <w:bodyDiv w:val="1"/>
      <w:marLeft w:val="0"/>
      <w:marRight w:val="0"/>
      <w:marTop w:val="0"/>
      <w:marBottom w:val="0"/>
      <w:divBdr>
        <w:top w:val="none" w:sz="0" w:space="0" w:color="auto"/>
        <w:left w:val="none" w:sz="0" w:space="0" w:color="auto"/>
        <w:bottom w:val="none" w:sz="0" w:space="0" w:color="auto"/>
        <w:right w:val="none" w:sz="0" w:space="0" w:color="auto"/>
      </w:divBdr>
    </w:div>
    <w:div w:id="213675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au-tu/Luat-Dau-tu-cong-2024-so-58-2024-QH15-621645.aspx" TargetMode="External"/><Relationship Id="rId13" Type="http://schemas.openxmlformats.org/officeDocument/2006/relationships/hyperlink" Target="https://thuvienphapluat.vn/van-ban/tai-chinh-nha-nuoc/quyet-dinh-07-2022-qd-ttg-von-ngan-sach-chuong-trinh-muc-tieu-xay-dung-nong-thon-moi-508009.asp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tai-chinh-nha-nuoc/quyet-dinh-07-2022-qd-ttg-von-ngan-sach-chuong-trinh-muc-tieu-xay-dung-nong-thon-moi-508009.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tai-chinh-nha-nuoc/quyet-dinh-07-2022-qd-ttg-von-ngan-sach-chuong-trinh-muc-tieu-xay-dung-nong-thon-moi-508009.aspx"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huvienphapluat.vn/van-ban/tai-chinh-nha-nuoc/quyet-dinh-07-2022-qd-ttg-von-ngan-sach-chuong-trinh-muc-tieu-xay-dung-nong-thon-moi-508009.aspx" TargetMode="External"/><Relationship Id="rId4" Type="http://schemas.openxmlformats.org/officeDocument/2006/relationships/settings" Target="settings.xml"/><Relationship Id="rId9" Type="http://schemas.openxmlformats.org/officeDocument/2006/relationships/hyperlink" Target="https://thuvienphapluat.vn/van-ban/tai-chinh-nha-nuoc/quyet-dinh-07-2022-qd-ttg-von-ngan-sach-chuong-trinh-muc-tieu-xay-dung-nong-thon-moi-508009.aspx"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thuvienphapluat.vn/van-ban/tai-chinh-nha-nuoc/quyet-dinh-07-2022-qd-ttg-von-ngan-sach-chuong-trinh-muc-tieu-xay-dung-nong-thon-moi-508009.aspx" TargetMode="External"/><Relationship Id="rId1" Type="http://schemas.openxmlformats.org/officeDocument/2006/relationships/hyperlink" Target="https://thuvienphapluat.vn/van-ban/tai-chinh-nha-nuoc/quyet-dinh-07-2022-qd-ttg-von-ngan-sach-chuong-trinh-muc-tieu-xay-dung-nong-thon-moi-50800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5D4B6-2ED3-413B-A11E-4DF2D6C19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3600</Words>
  <Characters>20524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cp:revision>
  <cp:lastPrinted>2026-05-12T09:12:00Z</cp:lastPrinted>
  <dcterms:created xsi:type="dcterms:W3CDTF">2026-05-21T10:16:00Z</dcterms:created>
  <dcterms:modified xsi:type="dcterms:W3CDTF">2026-05-21T10:16:00Z</dcterms:modified>
</cp:coreProperties>
</file>