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2" w:type="dxa"/>
        <w:jc w:val="center"/>
        <w:tblLook w:val="01E0" w:firstRow="1" w:lastRow="1" w:firstColumn="1" w:lastColumn="1" w:noHBand="0" w:noVBand="0"/>
      </w:tblPr>
      <w:tblGrid>
        <w:gridCol w:w="4866"/>
        <w:gridCol w:w="5766"/>
      </w:tblGrid>
      <w:tr>
        <w:trPr>
          <w:trHeight w:val="863"/>
          <w:jc w:val="center"/>
        </w:trPr>
        <w:tc>
          <w:tcPr>
            <w:tcW w:w="4866" w:type="dxa"/>
          </w:tcPr>
          <w:p>
            <w:pPr>
              <w:spacing w:before="0" w:after="0"/>
              <w:ind w:firstLine="0"/>
              <w:jc w:val="center"/>
              <w:rPr>
                <w:spacing w:val="-6"/>
                <w:sz w:val="26"/>
              </w:rPr>
            </w:pPr>
            <w:r>
              <w:rPr>
                <w:spacing w:val="-6"/>
                <w:sz w:val="26"/>
              </w:rPr>
              <w:t xml:space="preserve">UỶ BAN NHÂN DÂN </w:t>
            </w:r>
          </w:p>
          <w:p>
            <w:pPr>
              <w:spacing w:before="0" w:after="0"/>
              <w:ind w:firstLine="0"/>
              <w:jc w:val="center"/>
              <w:rPr>
                <w:spacing w:val="-6"/>
                <w:sz w:val="26"/>
              </w:rPr>
            </w:pPr>
            <w:r>
              <w:rPr>
                <w:spacing w:val="-6"/>
                <w:sz w:val="26"/>
              </w:rPr>
              <w:t>TỈNH THANH HOÁ</w:t>
            </w:r>
          </w:p>
          <w:p>
            <w:pPr>
              <w:spacing w:before="0" w:after="0"/>
              <w:ind w:left="-100" w:right="-206" w:firstLine="0"/>
              <w:jc w:val="center"/>
              <w:rPr>
                <w:b/>
                <w:bCs/>
                <w:sz w:val="26"/>
              </w:rPr>
            </w:pPr>
            <w:r>
              <w:rPr>
                <w:b/>
                <w:bCs/>
                <w:sz w:val="26"/>
              </w:rPr>
              <w:t>SỞ NÔNG NGHIỆP VÀ MÔI TRƯỜNG</w:t>
            </w:r>
          </w:p>
          <w:p>
            <w:pPr>
              <w:spacing w:before="0" w:after="0"/>
              <w:ind w:firstLine="0"/>
              <w:jc w:val="center"/>
              <w:rPr>
                <w:b/>
                <w:bCs/>
              </w:rPr>
            </w:pPr>
            <w:r>
              <w:rPr>
                <w:b/>
                <w:noProof/>
                <w:sz w:val="26"/>
              </w:rPr>
              <mc:AlternateContent>
                <mc:Choice Requires="wps">
                  <w:drawing>
                    <wp:anchor distT="4294967295" distB="4294967295" distL="114300" distR="114300" simplePos="0" relativeHeight="251666944" behindDoc="0" locked="0" layoutInCell="1" allowOverlap="1">
                      <wp:simplePos x="0" y="0"/>
                      <wp:positionH relativeFrom="column">
                        <wp:posOffset>949281</wp:posOffset>
                      </wp:positionH>
                      <wp:positionV relativeFrom="paragraph">
                        <wp:posOffset>38085</wp:posOffset>
                      </wp:positionV>
                      <wp:extent cx="942975" cy="0"/>
                      <wp:effectExtent l="0" t="0" r="0" b="0"/>
                      <wp:wrapNone/>
                      <wp:docPr id="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74.75pt;margin-top:3pt;width:74.25pt;height:0;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"/>
                  </w:pict>
                </mc:Fallback>
              </mc:AlternateContent>
            </w:r>
          </w:p>
        </w:tc>
        <w:tc>
          <w:tcPr>
            <w:tcW w:w="5766" w:type="dxa"/>
          </w:tcPr>
          <w:p>
            <w:pPr>
              <w:spacing w:before="0" w:after="0"/>
              <w:ind w:firstLine="0"/>
              <w:jc w:val="center"/>
              <w:rPr>
                <w:b/>
                <w:sz w:val="26"/>
                <w:szCs w:val="28"/>
              </w:rPr>
            </w:pPr>
            <w:r>
              <w:rPr>
                <w:b/>
                <w:sz w:val="26"/>
                <w:szCs w:val="28"/>
              </w:rPr>
              <w:t>CỘNG HÒA XÃ HỘI CHỦ NGHĨA VIỆT NAM</w:t>
            </w:r>
          </w:p>
          <w:p>
            <w:pPr>
              <w:spacing w:before="0" w:after="0"/>
              <w:ind w:firstLine="0"/>
              <w:jc w:val="center"/>
              <w:rPr>
                <w:i/>
                <w:szCs w:val="28"/>
              </w:rPr>
            </w:pPr>
            <w:r>
              <w:rPr>
                <w:noProof/>
              </w:rPr>
              <mc:AlternateContent>
                <mc:Choice Requires="wps">
                  <w:drawing>
                    <wp:anchor distT="4294967293" distB="4294967293" distL="114300" distR="114300" simplePos="0" relativeHeight="251657728" behindDoc="0" locked="0" layoutInCell="1" allowOverlap="1">
                      <wp:simplePos x="0" y="0"/>
                      <wp:positionH relativeFrom="column">
                        <wp:posOffset>706450</wp:posOffset>
                      </wp:positionH>
                      <wp:positionV relativeFrom="paragraph">
                        <wp:posOffset>236220</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44D12D5" id="_x0000_t32" coordsize="21600,21600" o:spt="32" o:oned="t" path="m,l21600,21600e" filled="f">
                      <v:path arrowok="t" fillok="f" o:connecttype="none"/>
                      <o:lock v:ext="edit" shapetype="t"/>
                    </v:shapetype>
                    <v:shape id="Straight Arrow Connector 2" o:spid="_x0000_s1026" type="#_x0000_t32" style="position:absolute;margin-left:55.65pt;margin-top:18.6pt;width:167.1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"/>
                  </w:pict>
                </mc:Fallback>
              </mc:AlternateContent>
            </w:r>
            <w:r>
              <w:rPr>
                <w:b/>
                <w:szCs w:val="28"/>
              </w:rPr>
              <w:t>Độc lập - Tự do - Hạnh phúc</w:t>
            </w:r>
          </w:p>
        </w:tc>
      </w:tr>
      <w:tr>
        <w:trPr>
          <w:trHeight w:val="49"/>
          <w:jc w:val="center"/>
        </w:trPr>
        <w:tc>
          <w:tcPr>
            <w:tcW w:w="4866" w:type="dxa"/>
          </w:tcPr>
          <w:p>
            <w:pPr>
              <w:spacing w:before="0" w:after="0"/>
              <w:ind w:firstLine="0"/>
              <w:jc w:val="center"/>
              <w:rPr>
                <w:sz w:val="26"/>
              </w:rPr>
            </w:pPr>
            <w:r>
              <w:rPr>
                <w:sz w:val="26"/>
              </w:rPr>
              <w:t>Số:               /BC-SNNMT</w:t>
            </w:r>
          </w:p>
        </w:tc>
        <w:tc>
          <w:tcPr>
            <w:tcW w:w="5766" w:type="dxa"/>
          </w:tcPr>
          <w:p>
            <w:pPr>
              <w:tabs>
                <w:tab w:val="right" w:pos="5581"/>
              </w:tabs>
              <w:spacing w:before="0" w:after="0"/>
              <w:ind w:firstLine="0"/>
              <w:jc w:val="center"/>
              <w:rPr>
                <w:b/>
                <w:sz w:val="26"/>
                <w:szCs w:val="28"/>
              </w:rPr>
            </w:pPr>
            <w:r>
              <w:rPr>
                <w:i/>
                <w:szCs w:val="28"/>
              </w:rPr>
              <w:t>Thanh Hoá, ngày</w:t>
            </w:r>
            <w:r>
              <w:rPr>
                <w:iCs/>
                <w:szCs w:val="28"/>
              </w:rPr>
              <w:t xml:space="preserve">      </w:t>
            </w:r>
            <w:r>
              <w:rPr>
                <w:bCs/>
                <w:iCs/>
                <w:szCs w:val="28"/>
              </w:rPr>
              <w:t xml:space="preserve"> </w:t>
            </w:r>
            <w:r>
              <w:rPr>
                <w:i/>
                <w:szCs w:val="28"/>
              </w:rPr>
              <w:t>tháng       năm 2026</w:t>
            </w:r>
          </w:p>
        </w:tc>
      </w:tr>
    </w:tbl>
    <w:p>
      <w:pPr>
        <w:tabs>
          <w:tab w:val="center" w:pos="0"/>
          <w:tab w:val="left" w:pos="709"/>
          <w:tab w:val="left" w:pos="6810"/>
        </w:tabs>
        <w:spacing w:before="0" w:after="0"/>
        <w:ind w:firstLine="0"/>
        <w:jc w:val="center"/>
        <w:rPr>
          <w:b/>
          <w:szCs w:val="28"/>
        </w:rPr>
      </w:pPr>
      <w:r>
        <w:rPr>
          <w:b/>
          <w:noProof/>
          <w:szCs w:val="28"/>
        </w:rPr>
        <mc:AlternateContent>
          <mc:Choice Requires="wps">
            <w:drawing>
              <wp:anchor distT="0" distB="0" distL="114300" distR="114300" simplePos="0" relativeHeight="251664896" behindDoc="0" locked="0" layoutInCell="1" allowOverlap="1">
                <wp:simplePos x="0" y="0"/>
                <wp:positionH relativeFrom="column">
                  <wp:posOffset>-445135</wp:posOffset>
                </wp:positionH>
                <wp:positionV relativeFrom="paragraph">
                  <wp:posOffset>153035</wp:posOffset>
                </wp:positionV>
                <wp:extent cx="1066800" cy="342900"/>
                <wp:effectExtent l="0" t="0" r="19050" b="19050"/>
                <wp:wrapNone/>
                <wp:docPr id="1545672577" name="Text Box 4"/>
                <wp:cNvGraphicFramePr/>
                <a:graphic xmlns:a="http://schemas.openxmlformats.org/drawingml/2006/main">
                  <a:graphicData uri="http://schemas.microsoft.com/office/word/2010/wordprocessingShape">
                    <wps:wsp>
                      <wps:cNvSpPr txBox="1"/>
                      <wps:spPr>
                        <a:xfrm>
                          <a:off x="0" y="0"/>
                          <a:ext cx="1066800" cy="342900"/>
                        </a:xfrm>
                        <a:prstGeom prst="rect">
                          <a:avLst/>
                        </a:prstGeom>
                        <a:solidFill>
                          <a:schemeClr val="lt1"/>
                        </a:solidFill>
                        <a:ln w="6350">
                          <a:solidFill>
                            <a:prstClr val="black"/>
                          </a:solidFill>
                        </a:ln>
                      </wps:spPr>
                      <wps:txbx>
                        <w:txbxContent>
                          <w:p>
                            <w:pPr>
                              <w:spacing w:before="0" w:after="0"/>
                              <w:ind w:firstLine="0"/>
                              <w:jc w:val="center"/>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5.05pt;margin-top:12.05pt;width:84pt;height:2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" fillcolor="white [3201]" strokeweight=".5pt">
                <v:textbox>
                  <w:txbxContent>
                    <w:p>
                      <w:pPr>
                        <w:spacing w:before="0" w:after="0"/>
                        <w:ind w:firstLine="0"/>
                        <w:jc w:val="center"/>
                        <w:rPr>
                          <w:b/>
                          <w:bCs/>
                        </w:rPr>
                      </w:pPr>
                      <w:r>
                        <w:rPr>
                          <w:b/>
                          <w:bCs/>
                        </w:rPr>
                        <w:t>DỰ THẢO</w:t>
                      </w:r>
                    </w:p>
                  </w:txbxContent>
                </v:textbox>
              </v:shape>
            </w:pict>
          </mc:Fallback>
        </mc:AlternateContent>
      </w:r>
    </w:p>
    <w:p>
      <w:pPr>
        <w:tabs>
          <w:tab w:val="center" w:pos="0"/>
          <w:tab w:val="left" w:pos="709"/>
          <w:tab w:val="left" w:pos="6810"/>
        </w:tabs>
        <w:spacing w:before="0" w:after="0"/>
        <w:ind w:firstLine="0"/>
        <w:jc w:val="left"/>
        <w:rPr>
          <w:b/>
          <w:szCs w:val="28"/>
        </w:rPr>
      </w:pPr>
    </w:p>
    <w:p>
      <w:pPr>
        <w:tabs>
          <w:tab w:val="center" w:pos="0"/>
          <w:tab w:val="left" w:pos="709"/>
          <w:tab w:val="left" w:pos="6810"/>
        </w:tabs>
        <w:spacing w:before="0" w:after="0"/>
        <w:ind w:firstLine="0"/>
        <w:jc w:val="center"/>
        <w:rPr>
          <w:b/>
          <w:szCs w:val="28"/>
        </w:rPr>
      </w:pPr>
      <w:r>
        <w:rPr>
          <w:b/>
          <w:szCs w:val="28"/>
        </w:rPr>
        <w:t>BÁO CÁO</w:t>
      </w:r>
    </w:p>
    <w:p>
      <w:pPr>
        <w:spacing w:before="0" w:after="0"/>
        <w:ind w:firstLine="0"/>
        <w:jc w:val="center"/>
        <w:rPr>
          <w:b/>
          <w:bCs/>
          <w:szCs w:val="28"/>
        </w:rPr>
      </w:pPr>
      <w:r>
        <w:rPr>
          <w:b/>
          <w:bCs/>
          <w:szCs w:val="28"/>
        </w:rPr>
        <w:t>Tổng kết việc thi hành Quyết định của Thủ tướng Chính phủ quy định</w:t>
      </w:r>
    </w:p>
    <w:p>
      <w:pPr>
        <w:spacing w:before="0" w:after="0"/>
        <w:ind w:firstLine="0"/>
        <w:jc w:val="center"/>
        <w:rPr>
          <w:b/>
          <w:bCs/>
          <w:szCs w:val="28"/>
        </w:rPr>
      </w:pPr>
      <w:r>
        <w:rPr>
          <w:b/>
          <w:bCs/>
          <w:szCs w:val="28"/>
        </w:rPr>
        <w:t xml:space="preserve">nguyên tắc, tiêu chí, định mức phân bổ vốn ngân sách trung ương </w:t>
      </w:r>
    </w:p>
    <w:p>
      <w:pPr>
        <w:spacing w:before="0" w:after="0"/>
        <w:ind w:firstLine="0"/>
        <w:jc w:val="center"/>
        <w:rPr>
          <w:b/>
          <w:bCs/>
          <w:szCs w:val="28"/>
        </w:rPr>
      </w:pPr>
      <w:r>
        <w:rPr>
          <w:b/>
          <w:bCs/>
          <w:szCs w:val="28"/>
        </w:rPr>
        <w:t xml:space="preserve">và tỷ lệ vốn đối ứng của ngân sách địa phương thực hiện 03 Chương trình mục tiêu quốc gia (Xây dựng nông thôn mới; Giảm nghèo bền vững; </w:t>
      </w:r>
    </w:p>
    <w:p>
      <w:pPr>
        <w:spacing w:before="0" w:after="0"/>
        <w:ind w:firstLine="0"/>
        <w:jc w:val="center"/>
        <w:rPr>
          <w:b/>
          <w:bCs/>
          <w:szCs w:val="28"/>
        </w:rPr>
      </w:pPr>
      <w:r>
        <w:rPr>
          <w:b/>
          <w:bCs/>
          <w:szCs w:val="28"/>
        </w:rPr>
        <w:t xml:space="preserve">Phát triển kinh tế - xã hội vùng đồng bào dân tộc thiểu số và miền núi) </w:t>
      </w:r>
    </w:p>
    <w:p>
      <w:pPr>
        <w:spacing w:before="0" w:after="0"/>
        <w:ind w:firstLine="0"/>
        <w:jc w:val="center"/>
        <w:rPr>
          <w:b/>
          <w:bCs/>
          <w:szCs w:val="28"/>
        </w:rPr>
      </w:pPr>
      <w:r>
        <w:rPr>
          <w:b/>
          <w:bCs/>
          <w:szCs w:val="28"/>
        </w:rPr>
        <w:t xml:space="preserve">giai đoạn 2021-2025 </w:t>
      </w:r>
    </w:p>
    <w:p>
      <w:pPr>
        <w:spacing w:after="0"/>
        <w:jc w:val="center"/>
        <w:rPr>
          <w:b/>
          <w:bCs/>
          <w:szCs w:val="28"/>
        </w:rPr>
      </w:pPr>
      <w:r>
        <w:rPr>
          <w:b/>
          <w:bCs/>
          <w:noProof/>
          <w:szCs w:val="28"/>
        </w:rPr>
        <mc:AlternateContent>
          <mc:Choice Requires="wps">
            <w:drawing>
              <wp:anchor distT="0" distB="0" distL="114300" distR="114300" simplePos="0" relativeHeight="251663872" behindDoc="0" locked="0" layoutInCell="1" allowOverlap="1">
                <wp:simplePos x="0" y="0"/>
                <wp:positionH relativeFrom="column">
                  <wp:posOffset>2120265</wp:posOffset>
                </wp:positionH>
                <wp:positionV relativeFrom="paragraph">
                  <wp:posOffset>63428</wp:posOffset>
                </wp:positionV>
                <wp:extent cx="1510496" cy="0"/>
                <wp:effectExtent l="0" t="0" r="0" b="0"/>
                <wp:wrapNone/>
                <wp:docPr id="1938955216" name="Straight Connector 4"/>
                <wp:cNvGraphicFramePr/>
                <a:graphic xmlns:a="http://schemas.openxmlformats.org/drawingml/2006/main">
                  <a:graphicData uri="http://schemas.microsoft.com/office/word/2010/wordprocessingShape">
                    <wps:wsp>
                      <wps:cNvCnPr/>
                      <wps:spPr>
                        <a:xfrm>
                          <a:off x="0" y="0"/>
                          <a:ext cx="15104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0092D59" id="Straight Connector 4"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66.95pt,5pt" to="285.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" strokecolor="black [3200]" strokeweight=".5pt">
                <v:stroke joinstyle="miter"/>
              </v:line>
            </w:pict>
          </mc:Fallback>
        </mc:AlternateContent>
      </w:r>
    </w:p>
    <w:p>
      <w:pPr>
        <w:widowControl w:val="0"/>
        <w:spacing w:line="276" w:lineRule="auto"/>
        <w:ind w:firstLine="567"/>
        <w:rPr>
          <w:spacing w:val="-4"/>
          <w:szCs w:val="28"/>
        </w:rPr>
      </w:pPr>
      <w:bookmarkStart w:id="0" w:name="_GoBack"/>
      <w:r>
        <w:rPr>
          <w:spacing w:val="-4"/>
          <w:szCs w:val="28"/>
        </w:rPr>
        <w:t>Thực hiện quy định của Luật Ban hành văn bản quy phạm pháp luật, Sở Nông nghiệp và Môi trường chủ trì, phối hợp với Sở Dân tộc và Tôn giáo tiến hành tổng kết việc thi hành Quyết định của Thủ tướng Chính phủ quy định nguyên tắc, tiêu chí, định mức phân bổ vốn ngân sách trung ương và tỷ lệ vốn đối ứng của ngân sách địa phương thực hiện 03 Chương trình mục tiêu quốc gia (Xây dựng nông thôn mới; Giảm nghèo bền vững;  Phát triển kinh tế - xã hội vùng đồng bào dân tộc thiểu số và miền núi) giai đoạn 2021-2025</w:t>
      </w:r>
      <w:r>
        <w:rPr>
          <w:rStyle w:val="FootnoteReference"/>
          <w:spacing w:val="-4"/>
          <w:szCs w:val="28"/>
        </w:rPr>
        <w:footnoteReference w:id="2"/>
      </w:r>
      <w:r>
        <w:rPr>
          <w:spacing w:val="-4"/>
          <w:szCs w:val="28"/>
        </w:rPr>
        <w:t>. Cụ thể như sau:</w:t>
      </w:r>
    </w:p>
    <w:p>
      <w:pPr>
        <w:widowControl w:val="0"/>
        <w:spacing w:line="276" w:lineRule="auto"/>
        <w:ind w:firstLine="567"/>
        <w:rPr>
          <w:b/>
          <w:bCs/>
          <w:spacing w:val="-4"/>
          <w:szCs w:val="28"/>
          <w:lang w:val="vi-VN"/>
        </w:rPr>
      </w:pPr>
      <w:r>
        <w:rPr>
          <w:b/>
          <w:bCs/>
          <w:spacing w:val="-4"/>
          <w:szCs w:val="28"/>
          <w:lang w:val="vi-VN"/>
        </w:rPr>
        <w:t>I. BỐI CẢNH THỰC HIỆN TỔNG KẾT</w:t>
      </w:r>
    </w:p>
    <w:p>
      <w:pPr>
        <w:widowControl w:val="0"/>
        <w:spacing w:line="276" w:lineRule="auto"/>
        <w:ind w:firstLine="567"/>
        <w:rPr>
          <w:b/>
          <w:bCs/>
          <w:spacing w:val="-4"/>
          <w:szCs w:val="28"/>
          <w:lang w:val="vi-VN"/>
        </w:rPr>
      </w:pPr>
      <w:r>
        <w:rPr>
          <w:b/>
          <w:bCs/>
          <w:spacing w:val="-4"/>
          <w:szCs w:val="28"/>
          <w:lang w:val="vi-VN"/>
        </w:rPr>
        <w:t>1. Bối cảnh địa phương liên quan đến dự thảo Quyết định của Thủ tướng Chính phủ 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giai đoạn 2026-2030</w:t>
      </w:r>
    </w:p>
    <w:p>
      <w:pPr>
        <w:widowControl w:val="0"/>
        <w:spacing w:line="276" w:lineRule="auto"/>
        <w:ind w:firstLine="567"/>
        <w:rPr>
          <w:spacing w:val="-4"/>
          <w:szCs w:val="28"/>
        </w:rPr>
      </w:pPr>
      <w:r>
        <w:rPr>
          <w:spacing w:val="-4"/>
          <w:szCs w:val="28"/>
        </w:rPr>
        <w:t xml:space="preserve">Giai đoạn 2021–2025, tỉnh Thanh Hóa đã triển khai thực hiện 03 Chương trình mục tiêu quốc gia (MTQG) trên cơ sở các Quyết định riêng biệt của Thủ tướng Chính phủ quy định về nguyên tắc, tiêu chí và định mức phân bổ vốn cho từng chương trình (Quyết định số 07/2022/QĐ-TTg, số 02/2022/QĐ-TTg và số 39/2021/QĐ-TTg). Hệ </w:t>
      </w:r>
      <w:r>
        <w:rPr>
          <w:spacing w:val="-4"/>
          <w:szCs w:val="28"/>
        </w:rPr>
        <w:lastRenderedPageBreak/>
        <w:t>thống pháp lý này đã tạo căn cứ quan trọng để Hội đồng nhân dân (HĐND) tỉnh Thanh Hóa ban hành các nghị quyết cụ thể hóa định mức phân bổ phù hợp với điều kiện của tỉnh như: Nghị quyết số 256/2022/NQ-HĐND (về Nông thôn mới), Nghị quyết số 33/2025/NQ-HĐND (về Giảm nghèo bền vững) và Nghị quyết số 258/2022/NQ-HĐND (về vùng đồng bào DTTS&amp;MN). Các quy định này đã góp phần bảo đảm nguồn lực tập trung cho các mục tiêu phát triển hạ tầng kinh tế - xã hội, cải thiện đời sống người dân và thu hẹp dần khoảng cách giữa các vùng miền, đặc biệt là khu vực miền núi phía Tây của tỉnh.</w:t>
      </w:r>
    </w:p>
    <w:p>
      <w:pPr>
        <w:widowControl w:val="0"/>
        <w:spacing w:line="276" w:lineRule="auto"/>
        <w:ind w:firstLine="567"/>
        <w:rPr>
          <w:spacing w:val="-4"/>
          <w:szCs w:val="28"/>
        </w:rPr>
      </w:pPr>
      <w:r>
        <w:rPr>
          <w:spacing w:val="-4"/>
          <w:szCs w:val="28"/>
        </w:rPr>
        <w:t>Tuy nhiên, thực tiễn thi hành tại Thanh Hóa cho thấy cơ chế phân bổ theo từng chương trình riêng lẻ trước đây còn bộc lộ một số hạn chế: tiêu chí phân bổ có lúc chưa phản ánh hết mức độ khó khăn thực chất giữa các huyện nghèo 30a và các địa bàn khác; tỷ lệ vốn đối ứng của các huyện, xã đặc biệt khó khăn đôi khi còn vượt quá khả năng cân đối thực tế của ngân sách cấp mình. Ngoài ra, việc tồn tại ba hệ thống kế hoạch và theo dõi độc lập trên cùng một địa bàn xã đã gia tăng áp lực báo cáo và chi phí điều phối nguồn lực.</w:t>
      </w:r>
    </w:p>
    <w:p>
      <w:pPr>
        <w:widowControl w:val="0"/>
        <w:spacing w:line="276" w:lineRule="auto"/>
        <w:ind w:firstLine="567"/>
        <w:rPr>
          <w:spacing w:val="-4"/>
          <w:szCs w:val="28"/>
        </w:rPr>
      </w:pPr>
      <w:r>
        <w:rPr>
          <w:spacing w:val="-4"/>
          <w:szCs w:val="28"/>
        </w:rPr>
        <w:t>Bước sang giai đoạn 2026–2030, bối cảnh triển khai có những thay đổi lớn khi Quốc hội ban hành Nghị quyết số 257/2025/QH15 phê duyệt chủ trương đầu tư tích hợp các chương trình MTQG và Chính phủ ban hành Nghị quyết số 424/2025/NQ-CP để triển khai nhiệm vụ này. Đặc biệt, từ năm 2025, tổ chức chính quyền địa phương được vận hành theo mô hình 02 cấp (cấp tỉnh và cấp xã), đòi hỏi Thanh Hóa phải đổi mới toàn diện phương thức phân bổ, quản lý và sử dụng vốn theo hướng tăng cường phân cấp, trao quyền đi đôi với trách nhiệm giải trình của chính quyền cơ sở. Yêu cầu siết chặt kỷ luật tài chính và thực hiện chuyển đổi số trong quản lý đầu tư công theo Luật số 58/2024/QH15 cũng đặt ra nhu cầu cấp thiết về một cơ chế phân bổ vốn minh bạch, định lượng rõ ràng và có tính tích hợp cao. Vì vậy, việc xây dựng và ban hành Quyết định mới của Thủ tướng cho giai đoạn 2026–2030 là cơ sở pháp lý trực tiếp để tỉnh Thanh Hóa tổ chức phân bổ nguồn lực hiệu quả, bảo đảm tập trung đúng đối tượng và mức độ khó khăn của từng địa phương.</w:t>
      </w:r>
    </w:p>
    <w:p>
      <w:pPr>
        <w:widowControl w:val="0"/>
        <w:spacing w:line="276" w:lineRule="auto"/>
        <w:ind w:firstLine="567"/>
        <w:rPr>
          <w:b/>
          <w:bCs/>
          <w:spacing w:val="-4"/>
          <w:szCs w:val="28"/>
        </w:rPr>
      </w:pPr>
      <w:r>
        <w:rPr>
          <w:b/>
          <w:bCs/>
          <w:spacing w:val="-4"/>
          <w:szCs w:val="28"/>
        </w:rPr>
        <w:t>2. Quá trình thực hiện tổng kết</w:t>
      </w:r>
    </w:p>
    <w:p>
      <w:pPr>
        <w:widowControl w:val="0"/>
        <w:spacing w:line="276" w:lineRule="auto"/>
        <w:ind w:firstLine="567"/>
        <w:rPr>
          <w:spacing w:val="-4"/>
          <w:szCs w:val="28"/>
        </w:rPr>
      </w:pPr>
      <w:r>
        <w:rPr>
          <w:spacing w:val="-4"/>
          <w:szCs w:val="28"/>
        </w:rPr>
        <w:t>Căn cứ vào yêu cầu của Trung ương và thực tiễn thi hành pháp luật tại địa phương, Ủy ban nhân dân tỉnh Thanh Hóa đã chỉ đạo Sở Nông nghiệp và Môi trường chủ trì phối hợp với Sở Tài chính, Sở Dân tộc và Tôn giáo cùng các sở, ngành liên quan tổ chức rà soát, đánh giá toàn diện việc thi hành các quy định về phân bổ vốn và đối ứng trong giai đoạn 2021–2025.</w:t>
      </w:r>
    </w:p>
    <w:p>
      <w:pPr>
        <w:widowControl w:val="0"/>
        <w:spacing w:line="276" w:lineRule="auto"/>
        <w:ind w:firstLine="567"/>
        <w:rPr>
          <w:spacing w:val="-4"/>
          <w:szCs w:val="28"/>
        </w:rPr>
      </w:pPr>
      <w:r>
        <w:rPr>
          <w:spacing w:val="-4"/>
          <w:szCs w:val="28"/>
        </w:rPr>
        <w:t>Quá trình tổng kết được thực hiện bài bản qua các bước:</w:t>
      </w:r>
    </w:p>
    <w:p>
      <w:pPr>
        <w:widowControl w:val="0"/>
        <w:spacing w:line="276" w:lineRule="auto"/>
        <w:ind w:firstLine="567"/>
        <w:rPr>
          <w:spacing w:val="-4"/>
          <w:szCs w:val="28"/>
        </w:rPr>
      </w:pPr>
      <w:r>
        <w:rPr>
          <w:spacing w:val="-4"/>
          <w:szCs w:val="28"/>
        </w:rPr>
        <w:t>(i) Thu thập và hệ thống hóa báo cáo kết quả thực hiện từ tất cả các xã, phường, thị trấn trong tỉnh, đặc biệt chú trọng các xã kém phát triển và các xã bãi ngang ven biển.</w:t>
      </w:r>
    </w:p>
    <w:p>
      <w:pPr>
        <w:widowControl w:val="0"/>
        <w:spacing w:line="276" w:lineRule="auto"/>
        <w:ind w:firstLine="567"/>
        <w:rPr>
          <w:spacing w:val="-4"/>
          <w:szCs w:val="28"/>
        </w:rPr>
      </w:pPr>
      <w:r>
        <w:rPr>
          <w:spacing w:val="-4"/>
          <w:szCs w:val="28"/>
        </w:rPr>
        <w:lastRenderedPageBreak/>
        <w:t>(ii) Rà soát nội dung các Quyết định của Thủ tướng Chính phủ gắn liền với việc thi hành các Nghị quyết của HĐND tỉnh Thanh Hóa, đối chiếu các định mức phân bổ thực tế với nhu cầu của người dân và mục tiêu chương trình.</w:t>
      </w:r>
    </w:p>
    <w:p>
      <w:pPr>
        <w:widowControl w:val="0"/>
        <w:spacing w:line="276" w:lineRule="auto"/>
        <w:ind w:firstLine="567"/>
        <w:rPr>
          <w:spacing w:val="-4"/>
          <w:szCs w:val="28"/>
        </w:rPr>
      </w:pPr>
      <w:r>
        <w:rPr>
          <w:spacing w:val="-4"/>
          <w:szCs w:val="28"/>
        </w:rPr>
        <w:t>(iii) Tổng hợp, phân tích các kết quả đạt được về giải ngân vốn đầu tư phát triển và kinh phí sự nghiệp; đồng thời chỉ rõ những vướng mắc về thủ tục hành chính, năng lực chuẩn bị dự án ở cấp xã và những nguyên nhân khách quan, chủ quan dẫn đến các tồn tại.</w:t>
      </w:r>
    </w:p>
    <w:p>
      <w:pPr>
        <w:widowControl w:val="0"/>
        <w:spacing w:line="276" w:lineRule="auto"/>
        <w:ind w:firstLine="567"/>
        <w:rPr>
          <w:spacing w:val="-4"/>
          <w:szCs w:val="28"/>
        </w:rPr>
      </w:pPr>
      <w:r>
        <w:rPr>
          <w:spacing w:val="-4"/>
          <w:szCs w:val="28"/>
        </w:rPr>
        <w:t>(iv) Hoàn thiện Dự thảo báo cáo tổng kết.</w:t>
      </w:r>
    </w:p>
    <w:p>
      <w:pPr>
        <w:widowControl w:val="0"/>
        <w:spacing w:line="276" w:lineRule="auto"/>
        <w:ind w:firstLine="567"/>
        <w:rPr>
          <w:spacing w:val="-4"/>
          <w:szCs w:val="28"/>
        </w:rPr>
      </w:pPr>
      <w:r>
        <w:rPr>
          <w:spacing w:val="-4"/>
          <w:szCs w:val="28"/>
        </w:rPr>
        <w:t>Phạm vi tổng kết tập trung vào việc đánh giá tính phù hợp của các nguyên tắc phân bổ hiện hành trong bối cảnh Thanh Hóa triển khai đồng thời nhiều dự án thành phần phức tạp. Kết quả tổng kết này không chỉ là báo cáo thực trạng mà còn là căn cứ thực tiễn quan trọng để Sở Tài chính và các đơn vị liên quan đề xuất nhu cầu vốn, xây dựng Kế hoạch đầu tư công trung hạn giai đoạn 2026–2030 báo cáo Bộ Tài chính và UBND tỉnh theo đúng quy định tại văn bản số 3123/STC-THQH ngày 27/3/2026.</w:t>
      </w:r>
    </w:p>
    <w:p>
      <w:pPr>
        <w:widowControl w:val="0"/>
        <w:spacing w:line="276" w:lineRule="auto"/>
        <w:ind w:firstLine="567"/>
        <w:rPr>
          <w:b/>
          <w:bCs/>
          <w:spacing w:val="-4"/>
          <w:szCs w:val="28"/>
        </w:rPr>
      </w:pPr>
      <w:r>
        <w:rPr>
          <w:b/>
          <w:bCs/>
          <w:spacing w:val="-4"/>
          <w:szCs w:val="28"/>
        </w:rPr>
        <w:t>II. KẾT QUẢ THỰC HIỆN</w:t>
      </w:r>
    </w:p>
    <w:p>
      <w:pPr>
        <w:widowControl w:val="0"/>
        <w:spacing w:line="276" w:lineRule="auto"/>
        <w:ind w:firstLine="567"/>
        <w:rPr>
          <w:b/>
          <w:bCs/>
          <w:spacing w:val="-4"/>
          <w:szCs w:val="28"/>
        </w:rPr>
      </w:pPr>
      <w:r>
        <w:rPr>
          <w:b/>
          <w:bCs/>
          <w:spacing w:val="-4"/>
          <w:szCs w:val="28"/>
        </w:rPr>
        <w:t xml:space="preserve">1. Kết quả thực hiện </w:t>
      </w:r>
      <w:r>
        <w:rPr>
          <w:b/>
          <w:spacing w:val="-4"/>
          <w:szCs w:val="28"/>
          <w:lang w:val="vi-VN"/>
        </w:rPr>
        <w:t>Nghị quyết số 256/2022/NQ-HĐND ngày 13/7/2022</w:t>
      </w:r>
      <w:r>
        <w:rPr>
          <w:b/>
          <w:spacing w:val="-4"/>
          <w:szCs w:val="28"/>
        </w:rPr>
        <w:t xml:space="preserve"> (được sửa đổi, bổ sung tại </w:t>
      </w:r>
      <w:r>
        <w:rPr>
          <w:b/>
          <w:bCs/>
          <w:szCs w:val="28"/>
          <w:shd w:val="clear" w:color="auto" w:fill="FFFFFF"/>
        </w:rPr>
        <w:t>Nghị quyết số 22/2025/NQ-HĐND</w:t>
      </w:r>
      <w:r>
        <w:rPr>
          <w:rStyle w:val="ng-star-inserted"/>
          <w:b/>
          <w:szCs w:val="28"/>
          <w:shd w:val="clear" w:color="auto" w:fill="FFFFFF"/>
        </w:rPr>
        <w:t xml:space="preserve"> ngày 21/7/2025) </w:t>
      </w:r>
      <w:r>
        <w:rPr>
          <w:b/>
          <w:bCs/>
          <w:spacing w:val="-4"/>
          <w:szCs w:val="28"/>
        </w:rPr>
        <w:t xml:space="preserve"> của Hội đồng nhân dân tỉnh quy định nguyên tắc, tiêu chí, định mức phân bổ vốn ngân sách trung ương và tỷ lệ vốn đối ứng của ngân sách địa phương thực hiện Chương trình MTQG xây dựng nông thôn mới trên địa bàn tỉnh Thanh Hoá, giai đoạn 2021-2025</w:t>
      </w:r>
    </w:p>
    <w:p>
      <w:pPr>
        <w:widowControl w:val="0"/>
        <w:spacing w:line="276" w:lineRule="auto"/>
        <w:ind w:firstLine="567"/>
        <w:rPr>
          <w:b/>
          <w:bCs/>
          <w:i/>
          <w:iCs/>
          <w:spacing w:val="-4"/>
          <w:szCs w:val="28"/>
        </w:rPr>
      </w:pPr>
      <w:r>
        <w:rPr>
          <w:b/>
          <w:bCs/>
          <w:i/>
          <w:iCs/>
          <w:spacing w:val="-4"/>
          <w:szCs w:val="28"/>
        </w:rPr>
        <w:t>1.1. Công tác chỉ đạo, triển khai và tổ chức thi hành Quyết định</w:t>
      </w:r>
    </w:p>
    <w:p>
      <w:pPr>
        <w:widowControl w:val="0"/>
        <w:spacing w:line="276" w:lineRule="auto"/>
        <w:ind w:firstLine="567"/>
        <w:rPr>
          <w:spacing w:val="-4"/>
          <w:szCs w:val="28"/>
          <w:lang w:val="vi-VN"/>
        </w:rPr>
      </w:pPr>
      <w:r>
        <w:rPr>
          <w:spacing w:val="-4"/>
          <w:szCs w:val="28"/>
          <w:lang w:val="vi-VN"/>
        </w:rPr>
        <w:t>a) Ở Trung ương Sau khi Quyết định số 07/2022/QĐ-TTg được ban hành, các bộ, cơ quan trung ương đã khẩn trương tổ chức quán triệt và triển khai thực hiện theo thẩm quyền. Bộ Nông nghiệp và Phát triển nông thôn (nay là Bộ Nông nghiệp và Môi trường) đã chủ động phối hợp với các Bộ liên quan hướng dẫn các địa phương xây dựng phương án phân bổ kế hoạch vốn trung hạn và hằng năm. Công tác này bảo đảm bám sát tiêu chí phân bổ, tính công khai, minh bạch và đúng đối tượng ưu tiên theo quy định. Hằng năm, Trung ương thực hiện phân bổ chi tiết vốn và phối hợp rà soát, xử lý khó khăn phát sinh, nhất là đối với các địa bàn có nhiều xã đặc biệt khó khăn, xã biên giới. Công tác kiểm tra, giám sát cũng được tăng cường để kịp thời chấn chỉnh những tồn tại trong quá trình thực hiện.</w:t>
      </w:r>
    </w:p>
    <w:p>
      <w:pPr>
        <w:widowControl w:val="0"/>
        <w:spacing w:line="276" w:lineRule="auto"/>
        <w:ind w:firstLine="567"/>
        <w:rPr>
          <w:spacing w:val="-4"/>
          <w:szCs w:val="28"/>
          <w:lang w:val="vi-VN"/>
        </w:rPr>
      </w:pPr>
      <w:r>
        <w:rPr>
          <w:spacing w:val="-4"/>
          <w:szCs w:val="28"/>
          <w:lang w:val="vi-VN"/>
        </w:rPr>
        <w:t>b) Tại tỉnh Thanh Hóa Trên cơ sở khung pháp lý của Trung ương, tỉnh Thanh Hóa đã nhanh chóng cụ thể hóa các quy định để phù hợp với thực tiễn địa phương:</w:t>
      </w:r>
    </w:p>
    <w:p>
      <w:pPr>
        <w:widowControl w:val="0"/>
        <w:spacing w:line="276" w:lineRule="auto"/>
        <w:ind w:firstLine="567"/>
        <w:rPr>
          <w:spacing w:val="-4"/>
          <w:szCs w:val="28"/>
          <w:lang w:val="vi-VN"/>
        </w:rPr>
      </w:pPr>
      <w:r>
        <w:rPr>
          <w:spacing w:val="-4"/>
          <w:szCs w:val="28"/>
          <w:lang w:val="vi-VN"/>
        </w:rPr>
        <w:t>Về ban hành văn bản quy phạm pháp luật: UBND tỉnh đã chỉ đạo các cơ quan chuyên môn tham mưu cho Hội đồng nhân dân tỉnh ban hành Nghị quyết số 256/2022/NQ-HĐND ngày 13/7/2022</w:t>
      </w:r>
      <w:r>
        <w:rPr>
          <w:spacing w:val="-4"/>
          <w:szCs w:val="28"/>
        </w:rPr>
        <w:t xml:space="preserve"> (được sửa đổi, bổ sung tại </w:t>
      </w:r>
      <w:r>
        <w:rPr>
          <w:bCs/>
          <w:szCs w:val="28"/>
          <w:shd w:val="clear" w:color="auto" w:fill="FFFFFF"/>
        </w:rPr>
        <w:t xml:space="preserve">Nghị quyết số </w:t>
      </w:r>
      <w:r>
        <w:rPr>
          <w:bCs/>
          <w:szCs w:val="28"/>
          <w:shd w:val="clear" w:color="auto" w:fill="FFFFFF"/>
        </w:rPr>
        <w:lastRenderedPageBreak/>
        <w:t>22/2025/NQ-HĐND</w:t>
      </w:r>
      <w:r>
        <w:rPr>
          <w:rStyle w:val="ng-star-inserted"/>
          <w:szCs w:val="28"/>
          <w:shd w:val="clear" w:color="auto" w:fill="FFFFFF"/>
        </w:rPr>
        <w:t xml:space="preserve"> ngày 21/7/2025 của Hội đồng nhân dân tỉnh)</w:t>
      </w:r>
      <w:r>
        <w:rPr>
          <w:spacing w:val="-4"/>
          <w:szCs w:val="28"/>
          <w:lang w:val="vi-VN"/>
        </w:rPr>
        <w:t>. Đây là văn bản then chốt quy định chi tiết về nguyên tắc, tiêu chí và định mức phân bổ vốn đầu tư phát triển từ ngân sách nhà nước thực hiện Chương trình nông thôn mới trên địa bàn tỉnh giai đoạn 2021-2025. Nghị quyết này bảo đảm tính tương thích hoàn toàn với quy định của Thủ tướng Chính phủ nhưng có sự điều chỉnh hệ số phân bổ linh hoạt nhằm tập trung nguồn lực cho các xã đạt dưới 15 tiêu chí và các xã đặc biệt khó khăn.</w:t>
      </w:r>
    </w:p>
    <w:p>
      <w:pPr>
        <w:widowControl w:val="0"/>
        <w:spacing w:line="276" w:lineRule="auto"/>
        <w:ind w:firstLine="567"/>
        <w:rPr>
          <w:spacing w:val="-4"/>
          <w:szCs w:val="28"/>
          <w:lang w:val="vi-VN"/>
        </w:rPr>
      </w:pPr>
      <w:r>
        <w:rPr>
          <w:spacing w:val="-4"/>
          <w:szCs w:val="28"/>
          <w:lang w:val="vi-VN"/>
        </w:rPr>
        <w:t>Về bộ máy chỉ đạo và điều hành: Tỉnh đã kiện toàn Ban Chỉ đạo các Chương trình mục tiêu quốc gia từ cấp tỉnh đến cấp cơ sở để bảo đảm tính thống nhất trong điều hành. Đặc biệt, thực hiện chủ trương tinh gọn bộ máy, Sở Nông nghiệp và Phát triển nông thôn đã được sáp nhập với Sở Tài nguyên và Môi trường thành Sở Nông nghiệp và Môi trường, đóng vai trò là cơ quan thường trực, chủ trì phối hợp với Sở Tài chính rà soát, đề xuất phương án giao vốn.</w:t>
      </w:r>
    </w:p>
    <w:p>
      <w:pPr>
        <w:widowControl w:val="0"/>
        <w:spacing w:line="276" w:lineRule="auto"/>
        <w:ind w:firstLine="567"/>
        <w:rPr>
          <w:spacing w:val="-4"/>
          <w:szCs w:val="28"/>
          <w:lang w:val="vi-VN"/>
        </w:rPr>
      </w:pPr>
      <w:r>
        <w:rPr>
          <w:spacing w:val="-4"/>
          <w:szCs w:val="28"/>
          <w:lang w:val="vi-VN"/>
        </w:rPr>
        <w:t xml:space="preserve">Về phân cấp và trao quyền: Tỉnh Thanh Hóa đã thực hiện phân cấp mạnh mẽ cho cấp huyện trong việc tổ chức thực hiện và điều chỉnh kế hoạch vốn nội bộ. UBND các huyện được chủ động lựa chọn danh mục dự án ưu tiên dựa trên nhu cầu thực tế của địa phương, trình Hội đồng nhân dân cùng cấp </w:t>
      </w:r>
      <w:r>
        <w:rPr>
          <w:spacing w:val="-4"/>
          <w:szCs w:val="28"/>
        </w:rPr>
        <w:t>xem xét</w:t>
      </w:r>
      <w:r>
        <w:rPr>
          <w:spacing w:val="-4"/>
          <w:szCs w:val="28"/>
          <w:lang w:val="vi-VN"/>
        </w:rPr>
        <w:t>. Cơ chế này đã nâng cao trách nhiệm giải trình và tính chủ động của chính quyền cơ sở, giúp việc sử dụng vốn sát với mục tiêu hoàn thành các tiêu chí nông thôn mới nâng cao và kiểu mẫu.</w:t>
      </w:r>
    </w:p>
    <w:p>
      <w:pPr>
        <w:widowControl w:val="0"/>
        <w:spacing w:line="276" w:lineRule="auto"/>
        <w:ind w:firstLine="567"/>
        <w:rPr>
          <w:spacing w:val="-4"/>
          <w:szCs w:val="28"/>
          <w:lang w:val="vi-VN"/>
        </w:rPr>
      </w:pPr>
      <w:r>
        <w:rPr>
          <w:spacing w:val="-4"/>
          <w:szCs w:val="28"/>
          <w:lang w:val="vi-VN"/>
        </w:rPr>
        <w:t>Về công tác kiểm tra, giám sát: Công tác quản lý, thanh tra việc sử dụng nguồn vốn được thực hiện định kỳ theo quy định của Luật Đầu tư công và Luật Ngân sách nhà nước. Sở Tài chính cũng thường xuyên có văn bản đôn đốc các đơn vị rà soát danh mục nhiệm vụ, dự án đầu tư để kịp thời tổng hợp nhu cầu vốn, bảo đảm không xảy ra tình trạng nợ đọng xây dựng cơ bản trái quy định.</w:t>
      </w:r>
    </w:p>
    <w:p>
      <w:pPr>
        <w:widowControl w:val="0"/>
        <w:spacing w:line="276" w:lineRule="auto"/>
        <w:ind w:firstLine="567"/>
        <w:rPr>
          <w:spacing w:val="-4"/>
          <w:szCs w:val="28"/>
        </w:rPr>
      </w:pPr>
      <w:r>
        <w:rPr>
          <w:spacing w:val="-4"/>
          <w:szCs w:val="28"/>
          <w:lang w:val="vi-VN"/>
        </w:rPr>
        <w:t>Nhìn chung, công tác chỉ đạo tại Thanh Hóa được thực hiện nghiêm túc, tạo cơ sở pháp lý rõ ràng và thống nhất để triển khai nguồn lực, góp phần quan trọng vào việc thực hiện các chỉ tiêu xây dựng nông thôn mới của tỉnh trong giai đoạn 2021–2025</w:t>
      </w:r>
    </w:p>
    <w:p>
      <w:pPr>
        <w:widowControl w:val="0"/>
        <w:spacing w:line="276" w:lineRule="auto"/>
        <w:ind w:firstLine="567"/>
        <w:rPr>
          <w:b/>
          <w:bCs/>
          <w:i/>
          <w:iCs/>
          <w:spacing w:val="-4"/>
          <w:szCs w:val="28"/>
          <w:lang w:val="da-DK"/>
        </w:rPr>
      </w:pPr>
      <w:r>
        <w:rPr>
          <w:b/>
          <w:bCs/>
          <w:i/>
          <w:iCs/>
          <w:spacing w:val="-4"/>
          <w:szCs w:val="28"/>
          <w:lang w:val="da-DK"/>
        </w:rPr>
        <w:t>1.2. Kết quả thi hành Quyết định, đánh giá ưu điểm, bất cập, hạn chế của Quyết định</w:t>
      </w:r>
    </w:p>
    <w:p>
      <w:pPr>
        <w:widowControl w:val="0"/>
        <w:spacing w:line="276" w:lineRule="auto"/>
        <w:ind w:firstLine="567"/>
        <w:rPr>
          <w:i/>
          <w:spacing w:val="-4"/>
          <w:szCs w:val="28"/>
          <w:lang w:val="vi-VN"/>
        </w:rPr>
      </w:pPr>
      <w:r>
        <w:rPr>
          <w:bCs/>
          <w:i/>
          <w:spacing w:val="-4"/>
          <w:szCs w:val="28"/>
          <w:lang w:val="vi-VN"/>
        </w:rPr>
        <w:t>a) Kết quả thi hành Quyết định tại tỉnh Thanh Hóa</w:t>
      </w:r>
    </w:p>
    <w:p>
      <w:pPr>
        <w:widowControl w:val="0"/>
        <w:spacing w:line="276" w:lineRule="auto"/>
        <w:ind w:firstLine="567"/>
        <w:rPr>
          <w:spacing w:val="-4"/>
          <w:szCs w:val="28"/>
          <w:lang w:val="vi-VN"/>
        </w:rPr>
      </w:pPr>
      <w:r>
        <w:rPr>
          <w:spacing w:val="-4"/>
          <w:szCs w:val="28"/>
          <w:lang w:val="vi-VN"/>
        </w:rPr>
        <w:t xml:space="preserve">Trên cơ sở các nguyên tắc, tiêu chí và định mức được quy định tại Quyết định số 07/2022/QĐ-TTg, việc phân bổ và giao kế hoạch vốn ngân sách trung ương (NSTW) cho Chương trình nông thôn mới (NTM) giai đoạn 2021–2025 trên địa bàn tỉnh Thanh Hóa đã được thực hiện kịp thời, bảo đảm tính công khai và có căn cứ định lượng rõ ràng. Tỉnh đã cụ thể hóa lộ trình nguồn vốn với tổng kinh phí dự kiến huy động rất lớn, trong đó NSTW hỗ trợ trực tiếp khoảng </w:t>
      </w:r>
      <w:r>
        <w:rPr>
          <w:spacing w:val="-4"/>
          <w:szCs w:val="28"/>
        </w:rPr>
        <w:t>2.715,640</w:t>
      </w:r>
      <w:r>
        <w:rPr>
          <w:spacing w:val="-4"/>
          <w:szCs w:val="28"/>
          <w:lang w:val="vi-VN"/>
        </w:rPr>
        <w:t xml:space="preserve"> tỷ đồng.</w:t>
      </w:r>
    </w:p>
    <w:p>
      <w:pPr>
        <w:widowControl w:val="0"/>
        <w:spacing w:line="276" w:lineRule="auto"/>
        <w:ind w:firstLine="567"/>
        <w:rPr>
          <w:spacing w:val="-4"/>
          <w:szCs w:val="28"/>
          <w:lang w:val="vi-VN"/>
        </w:rPr>
      </w:pPr>
      <w:r>
        <w:rPr>
          <w:spacing w:val="-4"/>
          <w:szCs w:val="28"/>
          <w:lang w:val="vi-VN"/>
        </w:rPr>
        <w:lastRenderedPageBreak/>
        <w:t>Đặc biệt, cơ chế phân bổ theo Quyết định này đã phát huy mạnh mẽ vai trò "vốn mồi", kích hoạt các nguồn lực xã hội khác ngoài ngân sách nhà nước. Theo đó, tỉnh Thanh Hóa huy động được khoảng 29.914,964 tỷ đồng, vốn tín dụng đạt 4.029,734 tỷ đồng và đóng góp tự nguyện từ cộng đồng dân cư (quy đổi từ tiền mặt, ngày công, đất đai...) đạt khoảng 4.400,751 tỷ đồng. Kết quả giải ngân vốn đầu tư công của chương trình tính chung cả tỉnh đạt trên 94%, phản ánh nỗ lực của địa phương trong việc đẩy nhanh tiến độ hoàn thành các công trình hạ tầng thiết yếu. Việc thực hiện Quyết định đã tạo căn cứ pháp lý vững chắc để Hội đồng nhân dân tỉnh ban hành các cơ chế hỗ trợ đặc thù cho các xã đặc biệt khó khăn, xã biên giới và các huyện miền núi như Thạch Thành, Ngọc Lặc, Cẩm Thủy.</w:t>
      </w:r>
    </w:p>
    <w:p>
      <w:pPr>
        <w:widowControl w:val="0"/>
        <w:spacing w:line="276" w:lineRule="auto"/>
        <w:ind w:firstLine="567"/>
        <w:rPr>
          <w:i/>
          <w:spacing w:val="-4"/>
          <w:szCs w:val="28"/>
          <w:lang w:val="vi-VN"/>
        </w:rPr>
      </w:pPr>
      <w:r>
        <w:rPr>
          <w:bCs/>
          <w:i/>
          <w:spacing w:val="-4"/>
          <w:szCs w:val="28"/>
          <w:lang w:val="vi-VN"/>
        </w:rPr>
        <w:t>b) Ưu điểm của Quyết định</w:t>
      </w:r>
    </w:p>
    <w:p>
      <w:pPr>
        <w:widowControl w:val="0"/>
        <w:spacing w:line="276" w:lineRule="auto"/>
        <w:ind w:firstLine="567"/>
        <w:rPr>
          <w:spacing w:val="-4"/>
          <w:szCs w:val="28"/>
          <w:lang w:val="vi-VN"/>
        </w:rPr>
      </w:pPr>
      <w:r>
        <w:rPr>
          <w:spacing w:val="-4"/>
          <w:szCs w:val="28"/>
          <w:lang w:val="vi-VN"/>
        </w:rPr>
        <w:t>Bảo đảm tính minh bạch và định lượng: Hệ thống tiêu chí phân bổ được thiết kế theo phương pháp tính điểm rõ ràng dựa trên số lượng đơn vị hành chính và các chỉ tiêu đặc thù (như số xã đạt dưới 15 tiêu chí), giúp hạn chế tối đa cơ chế "xin - cho" và tạo thuận lợi cho công tác giám sát của Hội đồng nhân dân các cấp.</w:t>
      </w:r>
    </w:p>
    <w:p>
      <w:pPr>
        <w:widowControl w:val="0"/>
        <w:spacing w:line="276" w:lineRule="auto"/>
        <w:ind w:firstLine="567"/>
        <w:rPr>
          <w:spacing w:val="-4"/>
          <w:szCs w:val="28"/>
          <w:lang w:val="vi-VN"/>
        </w:rPr>
      </w:pPr>
      <w:r>
        <w:rPr>
          <w:spacing w:val="-4"/>
          <w:szCs w:val="28"/>
          <w:lang w:val="vi-VN"/>
        </w:rPr>
        <w:t>Tăng cường phân cấp và trách nhiệm giải trình: Quyết định tạo khuôn khổ để Thủ tướng Chính phủ giao tổng mức vốn trung hạn, đồng thời trao quyền chủ động cho tỉnh Thanh Hóa trong việc phân bổ chi tiết và điều chỉnh nội bộ giữa các dự án thành phần, phù hợp với năng lực quản lý của chính quyền cơ sở.</w:t>
      </w:r>
    </w:p>
    <w:p>
      <w:pPr>
        <w:widowControl w:val="0"/>
        <w:spacing w:line="276" w:lineRule="auto"/>
        <w:ind w:firstLine="567"/>
        <w:rPr>
          <w:spacing w:val="-4"/>
          <w:szCs w:val="28"/>
          <w:lang w:val="vi-VN"/>
        </w:rPr>
      </w:pPr>
      <w:r>
        <w:rPr>
          <w:spacing w:val="-4"/>
          <w:szCs w:val="28"/>
          <w:lang w:val="vi-VN"/>
        </w:rPr>
        <w:t>Khả năng dự báo nguồn lực: Cơ chế phân bổ ổn định trong cả giai đoạn giúp các địa phương trong tỉnh chủ động xây dựng kế hoạch đầu tư công trung hạn, bố trí vốn đối ứng và lồng ghép nguồn lực từ các chương trình khác một cách hiệu quả.</w:t>
      </w:r>
    </w:p>
    <w:p>
      <w:pPr>
        <w:widowControl w:val="0"/>
        <w:spacing w:line="276" w:lineRule="auto"/>
        <w:ind w:firstLine="567"/>
        <w:rPr>
          <w:spacing w:val="-4"/>
          <w:szCs w:val="28"/>
          <w:lang w:val="vi-VN"/>
        </w:rPr>
      </w:pPr>
      <w:r>
        <w:rPr>
          <w:spacing w:val="-4"/>
          <w:szCs w:val="28"/>
          <w:lang w:val="vi-VN"/>
        </w:rPr>
        <w:t>Thúc đẩy huy động xã hội hóa: Việc quy định tỷ lệ đối ứng cụ thể đã ràng buộc trách nhiệm của ngân sách các cấp, đồng thời khuyến khích người dân và doanh nghiệp tham gia đóng góp, làm tăng tổng nguồn lực thực tế cho xây dựng nông thôn mới.</w:t>
      </w:r>
    </w:p>
    <w:p>
      <w:pPr>
        <w:widowControl w:val="0"/>
        <w:spacing w:line="276" w:lineRule="auto"/>
        <w:ind w:firstLine="567"/>
        <w:rPr>
          <w:i/>
          <w:spacing w:val="-4"/>
          <w:szCs w:val="28"/>
          <w:lang w:val="vi-VN"/>
        </w:rPr>
      </w:pPr>
      <w:r>
        <w:rPr>
          <w:bCs/>
          <w:i/>
          <w:spacing w:val="-4"/>
          <w:szCs w:val="28"/>
          <w:lang w:val="vi-VN"/>
        </w:rPr>
        <w:t>c) Bất cập, hạn chế của Quyết định</w:t>
      </w:r>
    </w:p>
    <w:p>
      <w:pPr>
        <w:widowControl w:val="0"/>
        <w:spacing w:line="276" w:lineRule="auto"/>
        <w:ind w:firstLine="567"/>
        <w:rPr>
          <w:spacing w:val="-4"/>
          <w:szCs w:val="28"/>
          <w:lang w:val="vi-VN"/>
        </w:rPr>
      </w:pPr>
      <w:r>
        <w:rPr>
          <w:spacing w:val="-4"/>
          <w:szCs w:val="28"/>
          <w:lang w:val="vi-VN"/>
        </w:rPr>
        <w:t>Thiếu tính tích hợp tổng thể: Cơ chế phân bổ của Chương trình NTM được thiết kế độc lập với 02 Chương trình MTQG còn lại. Tại Thanh Hóa, nhiều xã vùng đồng bào dân tộc thiểu số và miền núi đồng thời thụ hưởng cả 03 chương trình, nhưng việc tồn tại ba hệ thống kế hoạch và báo cáo riêng biệt đã làm gia tăng chi phí điều phối và gây khó khăn trong việc điều hòa nguồn lực tại cùng một địa bàn.</w:t>
      </w:r>
    </w:p>
    <w:p>
      <w:pPr>
        <w:widowControl w:val="0"/>
        <w:spacing w:line="276" w:lineRule="auto"/>
        <w:ind w:firstLine="567"/>
        <w:rPr>
          <w:spacing w:val="-4"/>
          <w:szCs w:val="28"/>
          <w:lang w:val="vi-VN"/>
        </w:rPr>
      </w:pPr>
      <w:r>
        <w:rPr>
          <w:spacing w:val="-4"/>
          <w:szCs w:val="28"/>
          <w:lang w:val="vi-VN"/>
        </w:rPr>
        <w:t>Áp lực vốn đối ứng tại địa bàn nghèo: Tỷ lệ vốn đối ứng hiện nay chưa phân hóa rõ nét theo khả năng tự cân đối ngân sách thực tế của từng huyện. Đối với các huyện nghèo tại Thanh Hóa, mặc dù được ưu tiên phân bổ vốn NSTW cao nhưng đi kèm với đó là yêu cầu vốn đối ứng lớn, vượt quá khả năng thu ngân sách tại chỗ, dẫn đến khó khăn trong việc bố trí đủ nguồn lực theo quy định.</w:t>
      </w:r>
    </w:p>
    <w:p>
      <w:pPr>
        <w:widowControl w:val="0"/>
        <w:spacing w:line="276" w:lineRule="auto"/>
        <w:ind w:firstLine="567"/>
        <w:rPr>
          <w:spacing w:val="-4"/>
          <w:szCs w:val="28"/>
          <w:lang w:val="vi-VN"/>
        </w:rPr>
      </w:pPr>
      <w:r>
        <w:rPr>
          <w:spacing w:val="-4"/>
          <w:szCs w:val="28"/>
          <w:lang w:val="vi-VN"/>
        </w:rPr>
        <w:lastRenderedPageBreak/>
        <w:t>Cơ chế điều chỉnh thiếu linh hoạt: Việc điều chuyển vốn giữa các nhiệm vụ chi hằng năm chủ yếu vẫn thực hiện qua quy trình hành chính phức tạp, chưa có công cụ khuyến khích hoặc thưởng vốn gắn với tiến độ giải ngân và kết quả thực hiện mục tiêu thực tế.</w:t>
      </w:r>
    </w:p>
    <w:p>
      <w:pPr>
        <w:widowControl w:val="0"/>
        <w:spacing w:line="276" w:lineRule="auto"/>
        <w:ind w:firstLine="567"/>
        <w:rPr>
          <w:spacing w:val="-4"/>
          <w:szCs w:val="28"/>
          <w:lang w:val="vi-VN"/>
        </w:rPr>
      </w:pPr>
      <w:r>
        <w:rPr>
          <w:spacing w:val="-4"/>
          <w:szCs w:val="28"/>
          <w:lang w:val="vi-VN"/>
        </w:rPr>
        <w:t>Năng lực tổ chức thi hành tại cơ sở: Tại một số địa bàn vùng sâu, vùng xa của tỉnh, năng lực chuẩn bị dự án và thanh quyết toán ở cấp xã còn hạn chế, dẫn đến tình trạng vốn chờ thủ tục, ảnh hưởng đến tỷ lệ giải ngân chung.</w:t>
      </w:r>
    </w:p>
    <w:p>
      <w:pPr>
        <w:widowControl w:val="0"/>
        <w:spacing w:line="276" w:lineRule="auto"/>
        <w:ind w:firstLine="567"/>
        <w:rPr>
          <w:spacing w:val="-4"/>
          <w:szCs w:val="28"/>
          <w:lang w:val="vi-VN"/>
        </w:rPr>
      </w:pPr>
      <w:r>
        <w:rPr>
          <w:spacing w:val="-4"/>
          <w:szCs w:val="28"/>
          <w:lang w:val="vi-VN"/>
        </w:rPr>
        <w:t>Chưa tương thích với mô hình quản lý mới: Phương thức phân bổ hiện hành được xây dựng theo mô hình tổ chức 03 cấp quản lý, do đó cần phải điều chỉnh lại để phù hợp với bối cảnh Thanh Hóa và cả nước thực hiện mô hình chính quyền địa phương 02 cấp (tỉnh và xã) từ năm 2025.</w:t>
      </w:r>
    </w:p>
    <w:p>
      <w:pPr>
        <w:widowControl w:val="0"/>
        <w:spacing w:line="276" w:lineRule="auto"/>
        <w:ind w:firstLine="567"/>
        <w:rPr>
          <w:spacing w:val="-4"/>
          <w:szCs w:val="28"/>
          <w:lang w:val="vi-VN"/>
        </w:rPr>
      </w:pPr>
      <w:r>
        <w:rPr>
          <w:spacing w:val="-4"/>
          <w:szCs w:val="28"/>
          <w:lang w:val="vi-VN"/>
        </w:rPr>
        <w:t>Hạn chế về số hóa: Hệ thống cơ sở dữ liệu theo dõi chương trình chưa được đồng bộ hoàn toàn, việc tổng hợp báo cáo vẫn còn phụ thuộc nhiều vào phương thức thủ công, làm giảm tính kịp thời trong công tác điều hành vốn.</w:t>
      </w:r>
    </w:p>
    <w:p>
      <w:pPr>
        <w:widowControl w:val="0"/>
        <w:spacing w:line="276" w:lineRule="auto"/>
        <w:ind w:firstLine="567"/>
        <w:rPr>
          <w:b/>
          <w:bCs/>
          <w:i/>
          <w:iCs/>
          <w:spacing w:val="-4"/>
          <w:szCs w:val="28"/>
          <w:lang w:val="da-DK"/>
        </w:rPr>
      </w:pPr>
      <w:r>
        <w:rPr>
          <w:b/>
          <w:bCs/>
          <w:i/>
          <w:iCs/>
          <w:spacing w:val="-4"/>
          <w:szCs w:val="28"/>
          <w:lang w:val="da-DK"/>
        </w:rPr>
        <w:t xml:space="preserve">1.3. Khó khăn, vướng mắc </w:t>
      </w:r>
    </w:p>
    <w:p>
      <w:pPr>
        <w:widowControl w:val="0"/>
        <w:spacing w:line="276" w:lineRule="auto"/>
        <w:ind w:firstLine="567"/>
        <w:rPr>
          <w:bCs/>
          <w:i/>
          <w:iCs/>
          <w:spacing w:val="-4"/>
          <w:szCs w:val="28"/>
          <w:lang w:val="da-DK"/>
        </w:rPr>
      </w:pPr>
      <w:r>
        <w:rPr>
          <w:bCs/>
          <w:i/>
          <w:spacing w:val="-4"/>
          <w:szCs w:val="28"/>
          <w:lang w:val="vi-VN"/>
        </w:rPr>
        <w:t>a) Về khó khăn, vướng mắc từ quy định của Quyết định:</w:t>
      </w:r>
    </w:p>
    <w:p>
      <w:pPr>
        <w:widowControl w:val="0"/>
        <w:spacing w:line="276" w:lineRule="auto"/>
        <w:ind w:firstLine="567"/>
        <w:rPr>
          <w:spacing w:val="-4"/>
          <w:szCs w:val="28"/>
          <w:lang w:val="vi-VN"/>
        </w:rPr>
      </w:pPr>
      <w:r>
        <w:rPr>
          <w:spacing w:val="-4"/>
          <w:szCs w:val="28"/>
          <w:lang w:val="vi-VN"/>
        </w:rPr>
        <w:t>Việc thiết kế hệ thống tiêu chí phân bổ vốn dựa trên số lượng đơn vị hành chính và các chỉ tiêu định lượng cơ bản đã đáp ứng yêu cầu về tính minh bạch và khách quan trong tổ chức thực hiện. Tuy nhiên, trong bối cảnh tỉnh Thanh Hóa triển khai đồng thời cả 03 Chương trình mục tiêu quốc gia giai đoạn 2021–2025, cơ chế phân bổ riêng rẽ cho từng Chương trình theo các Quyết định khác nhau của Thủ tướng Chính phủ vẫn chưa tạo được một khung điều tiết tổng thể nguồn lực trên cùng một địa bàn xã, thôn. Điều này dẫn đến việc tối ưu hóa các nguồn vốn tích hợp để giải quyết dứt điểm các tiêu chí nông thôn mới (NTM) tại các địa bàn đặc biệt khó khăn còn nhiều hạn chế.</w:t>
      </w:r>
    </w:p>
    <w:p>
      <w:pPr>
        <w:widowControl w:val="0"/>
        <w:spacing w:line="276" w:lineRule="auto"/>
        <w:ind w:firstLine="567"/>
        <w:rPr>
          <w:spacing w:val="-4"/>
          <w:szCs w:val="28"/>
          <w:lang w:val="vi-VN"/>
        </w:rPr>
      </w:pPr>
      <w:r>
        <w:rPr>
          <w:spacing w:val="-4"/>
          <w:szCs w:val="28"/>
          <w:lang w:val="vi-VN"/>
        </w:rPr>
        <w:t>Cơ chế phân bổ hiện hành chưa thiết kế cấu phần ưu tiên đủ mạnh gắn với mức độ hỗ trợ từ ngân sách trung ương hoặc năng lực tự cân đối ngân sách thực tế của từng địa phương. Tại Thanh Hóa, việc phân hóa mức vốn hỗ trợ chủ yếu vẫn thực hiện theo nhóm địa bàn (như xã đặc biệt khó khăn, xã biên giới), song chưa gắn trực tiếp với tỷ lệ phụ thuộc ngân sách trung ương trong từng năm ngân sách cụ thể, dẫn đến sự chênh lệch về áp lực vốn đối ứng giữa các huyện nghèo 30a và các huyện đồng bằng, ven biển.</w:t>
      </w:r>
    </w:p>
    <w:p>
      <w:pPr>
        <w:widowControl w:val="0"/>
        <w:spacing w:line="276" w:lineRule="auto"/>
        <w:ind w:firstLine="567"/>
        <w:rPr>
          <w:spacing w:val="-4"/>
          <w:szCs w:val="28"/>
          <w:lang w:val="vi-VN"/>
        </w:rPr>
      </w:pPr>
      <w:r>
        <w:rPr>
          <w:spacing w:val="-4"/>
          <w:szCs w:val="28"/>
          <w:lang w:val="vi-VN"/>
        </w:rPr>
        <w:t>Nghị quyết số 256/2022/NQ-HĐND ngày 13/7/2022</w:t>
      </w:r>
      <w:r>
        <w:rPr>
          <w:spacing w:val="-4"/>
          <w:szCs w:val="28"/>
        </w:rPr>
        <w:t xml:space="preserve"> (được sửa đổi, bổ sung tại </w:t>
      </w:r>
      <w:r>
        <w:rPr>
          <w:bCs/>
          <w:szCs w:val="28"/>
          <w:shd w:val="clear" w:color="auto" w:fill="FFFFFF"/>
        </w:rPr>
        <w:t>Nghị quyết số 22/2025/NQ-HĐND</w:t>
      </w:r>
      <w:r>
        <w:rPr>
          <w:rStyle w:val="ng-star-inserted"/>
          <w:szCs w:val="28"/>
          <w:shd w:val="clear" w:color="auto" w:fill="FFFFFF"/>
        </w:rPr>
        <w:t xml:space="preserve"> ngày 21/7/2025) </w:t>
      </w:r>
      <w:r>
        <w:rPr>
          <w:spacing w:val="-4"/>
          <w:szCs w:val="28"/>
          <w:lang w:val="vi-VN"/>
        </w:rPr>
        <w:t xml:space="preserve">chưa xây dựng được các công cụ điều chỉnh vốn linh hoạt gắn với kết quả thực hiện hằng năm hoặc tiến độ giải ngân thực tế của các dự án. Việc điều hòa, điều chuyển kế hoạch vốn hằng năm giữa các nhiệm vụ chi chủ yếu vẫn phải thực hiện thông qua các quy trình hành chính </w:t>
      </w:r>
      <w:r>
        <w:rPr>
          <w:spacing w:val="-4"/>
          <w:szCs w:val="28"/>
          <w:lang w:val="vi-VN"/>
        </w:rPr>
        <w:lastRenderedPageBreak/>
        <w:t>phức tạp, thiếu cơ chế khuyến khích hoặc thưởng vốn rõ ràng dựa trên hiệu quả sử dụng nguồn lực, làm giảm tính chủ động của chính quyền cơ sở.</w:t>
      </w:r>
    </w:p>
    <w:p>
      <w:pPr>
        <w:widowControl w:val="0"/>
        <w:spacing w:line="276" w:lineRule="auto"/>
        <w:ind w:firstLine="567"/>
        <w:rPr>
          <w:spacing w:val="-4"/>
          <w:szCs w:val="28"/>
          <w:lang w:val="vi-VN"/>
        </w:rPr>
      </w:pPr>
      <w:r>
        <w:rPr>
          <w:spacing w:val="-4"/>
          <w:szCs w:val="28"/>
          <w:lang w:val="vi-VN"/>
        </w:rPr>
        <w:t>Trong bối cảnh thực hiện mô hình tổ chức chính quyền địa phương 02 cấp (cấp tỉnh và cấp xã) từ năm 2025 theo các quy định mới về quản lý nhà nước, phương thức phân bổ vốn theo đơn vị hành chính cấp huyện như giai đoạn 2021–2025 bộc lộ sự không còn phù hợp với cấu trúc quản lý mới. Điều này đặt ra yêu cầu cấp thiết phải điều chỉnh lại cách tiếp cận phân bổ để tương thích với mô hình quản lý tinh gọn, tăng cường phân cấp và trao quyền trực tiếp cho cấp xã.</w:t>
      </w:r>
    </w:p>
    <w:p>
      <w:pPr>
        <w:widowControl w:val="0"/>
        <w:spacing w:line="276" w:lineRule="auto"/>
        <w:ind w:firstLine="567"/>
        <w:rPr>
          <w:i/>
          <w:spacing w:val="-4"/>
          <w:szCs w:val="28"/>
          <w:lang w:val="vi-VN"/>
        </w:rPr>
      </w:pPr>
      <w:r>
        <w:rPr>
          <w:bCs/>
          <w:i/>
          <w:spacing w:val="-4"/>
          <w:szCs w:val="28"/>
          <w:lang w:val="vi-VN"/>
        </w:rPr>
        <w:t>b) Về khó khăn, vướng mắc do tổ chức thi hành tại địa phương:</w:t>
      </w:r>
    </w:p>
    <w:p>
      <w:pPr>
        <w:widowControl w:val="0"/>
        <w:spacing w:line="276" w:lineRule="auto"/>
        <w:ind w:firstLine="567"/>
        <w:rPr>
          <w:spacing w:val="-4"/>
          <w:szCs w:val="28"/>
          <w:lang w:val="vi-VN"/>
        </w:rPr>
      </w:pPr>
      <w:r>
        <w:rPr>
          <w:spacing w:val="-4"/>
          <w:szCs w:val="28"/>
          <w:lang w:val="vi-VN"/>
        </w:rPr>
        <w:t>Công tác tổng hợp nhu cầu, lập kế hoạch đầu tư công trung hạn và hằng năm, cũng như chế độ báo cáo của một số đơn vị, địa phương trong tỉnh có lúc còn chậm và thiếu tính đồng bộ. Tại một số thời điểm, số liệu về phân bổ và giải ngân giữa cơ quan chủ trì chương trình và các địa phương thụ hưởng chưa hoàn toàn khớp nhau, gây khó khăn cho công tác điều hành, giám sát tổng thể của Ủy ban nhân dân tỉnh. Tình trạng gửi báo cáo chuyên đề, báo cáo định kỳ chậm hoặc thiếu nội dung cốt lõi vẫn còn xảy ra ở một số huyện miền núi và xã vùng sâu, vùng xa.</w:t>
      </w:r>
    </w:p>
    <w:p>
      <w:pPr>
        <w:widowControl w:val="0"/>
        <w:spacing w:line="276" w:lineRule="auto"/>
        <w:ind w:firstLine="567"/>
        <w:rPr>
          <w:spacing w:val="-4"/>
          <w:szCs w:val="28"/>
          <w:lang w:val="vi-VN"/>
        </w:rPr>
      </w:pPr>
      <w:r>
        <w:rPr>
          <w:spacing w:val="-4"/>
          <w:szCs w:val="28"/>
          <w:lang w:val="vi-VN"/>
        </w:rPr>
        <w:t>Năng lực chuẩn bị hồ sơ dự án, hoàn thiện các thủ tục đầu tư và thanh quyết toán nguồn vốn ở một số địa phương, nhất là ở cấp cơ sở (xã), còn nhiều hạn chế. Những vướng mắc phát sinh trong khâu điều chỉnh danh mục dự án, thủ tục chuyển nguồn và kéo dài thời gian thực hiện đã tác động trực tiếp đến tiến độ thực hiện và làm giảm tỷ lệ giải ngân chung của Chương trình trên địa bàn tỉnh.</w:t>
      </w:r>
    </w:p>
    <w:p>
      <w:pPr>
        <w:widowControl w:val="0"/>
        <w:spacing w:line="276" w:lineRule="auto"/>
        <w:ind w:firstLine="567"/>
        <w:rPr>
          <w:spacing w:val="-4"/>
          <w:szCs w:val="28"/>
          <w:lang w:val="vi-VN"/>
        </w:rPr>
      </w:pPr>
      <w:r>
        <w:rPr>
          <w:spacing w:val="-4"/>
          <w:szCs w:val="28"/>
          <w:lang w:val="vi-VN"/>
        </w:rPr>
        <w:t>Cơ chế phối hợp giữa các sở, ban, ngành thành viên Ban Chỉ đạo tỉnh trong việc thực hiện Chương trình có nơi, có lúc chưa thực sự chặt chẽ và hiệu quả. Việc lồng ghép, tích hợp nguồn lực từ các chương trình MTQG khác hoặc các dự án hỗ trợ có mục tiêu với nguồn vốn Chương trình nông thôn mới vẫn còn gặp nhiều lúng túng về quy trình thực hiện, dẫn đến tình trạng đầu tư còn dàn trải, chưa tập trung trọng điểm.</w:t>
      </w:r>
    </w:p>
    <w:p>
      <w:pPr>
        <w:widowControl w:val="0"/>
        <w:spacing w:line="276" w:lineRule="auto"/>
        <w:ind w:firstLine="567"/>
        <w:rPr>
          <w:spacing w:val="-4"/>
          <w:szCs w:val="28"/>
          <w:lang w:val="vi-VN"/>
        </w:rPr>
      </w:pPr>
      <w:r>
        <w:rPr>
          <w:spacing w:val="-4"/>
          <w:szCs w:val="28"/>
          <w:lang w:val="vi-VN"/>
        </w:rPr>
        <w:t>Hệ thống thông tin dữ liệu và cơ sở dữ liệu dùng chung để phục vụ quản lý, theo dõi Chương trình tại tỉnh Thanh Hóa chưa được số hóa đồng bộ từ cấp tỉnh đến cấp xã. Công tác tổng hợp thông tin, số liệu giải ngân vẫn phụ thuộc nhiều vào các phương thức báo cáo thủ công, điều này không chỉ làm tăng chi phí hành chính mà còn làm giảm tính kịp thời và độ chính xác của thông tin phục vụ công tác chỉ đạo, điều hành vốn của lãnh đạo tỉnh.</w:t>
      </w:r>
    </w:p>
    <w:p>
      <w:pPr>
        <w:widowControl w:val="0"/>
        <w:spacing w:line="276" w:lineRule="auto"/>
        <w:ind w:firstLine="567"/>
        <w:rPr>
          <w:b/>
          <w:bCs/>
          <w:i/>
          <w:iCs/>
          <w:spacing w:val="-4"/>
          <w:szCs w:val="28"/>
          <w:lang w:val="da-DK"/>
        </w:rPr>
      </w:pPr>
      <w:r>
        <w:rPr>
          <w:b/>
          <w:bCs/>
          <w:i/>
          <w:iCs/>
          <w:spacing w:val="-4"/>
          <w:szCs w:val="28"/>
          <w:lang w:val="da-DK"/>
        </w:rPr>
        <w:t xml:space="preserve">1.4. Đánh giá chung việc thi hành </w:t>
      </w:r>
      <w:r>
        <w:rPr>
          <w:b/>
          <w:i/>
          <w:spacing w:val="-4"/>
          <w:szCs w:val="28"/>
          <w:lang w:val="vi-VN"/>
        </w:rPr>
        <w:t>Nghị quyết số 256/2022/NQ-HĐND ngày 13/7/2022</w:t>
      </w:r>
      <w:r>
        <w:rPr>
          <w:b/>
          <w:i/>
          <w:spacing w:val="-4"/>
          <w:szCs w:val="28"/>
        </w:rPr>
        <w:t xml:space="preserve"> (được sửa đổi, bổ sung tại </w:t>
      </w:r>
      <w:r>
        <w:rPr>
          <w:b/>
          <w:bCs/>
          <w:i/>
          <w:szCs w:val="28"/>
          <w:shd w:val="clear" w:color="auto" w:fill="FFFFFF"/>
        </w:rPr>
        <w:t>Nghị quyết số 22/2025/NQ-HĐND</w:t>
      </w:r>
      <w:r>
        <w:rPr>
          <w:rStyle w:val="ng-star-inserted"/>
          <w:b/>
          <w:i/>
          <w:szCs w:val="28"/>
          <w:shd w:val="clear" w:color="auto" w:fill="FFFFFF"/>
        </w:rPr>
        <w:t xml:space="preserve"> ngày 21/7/2025)</w:t>
      </w:r>
    </w:p>
    <w:p>
      <w:pPr>
        <w:widowControl w:val="0"/>
        <w:spacing w:line="276" w:lineRule="auto"/>
        <w:ind w:firstLine="567"/>
        <w:rPr>
          <w:spacing w:val="-4"/>
          <w:szCs w:val="28"/>
          <w:lang w:val="vi-VN"/>
        </w:rPr>
      </w:pPr>
      <w:r>
        <w:rPr>
          <w:spacing w:val="-4"/>
          <w:szCs w:val="28"/>
          <w:lang w:val="vi-VN"/>
        </w:rPr>
        <w:t xml:space="preserve">Qua tổng kết thực tiễn triển khai giai đoạn 2021–2025 tại địa phương, việc thi </w:t>
      </w:r>
      <w:r>
        <w:rPr>
          <w:spacing w:val="-4"/>
          <w:szCs w:val="28"/>
          <w:lang w:val="vi-VN"/>
        </w:rPr>
        <w:lastRenderedPageBreak/>
        <w:t>hành Nghị quyết số 256/2022/NQ-HĐND ngày 13/7/2022</w:t>
      </w:r>
      <w:r>
        <w:rPr>
          <w:b/>
          <w:i/>
          <w:spacing w:val="-4"/>
          <w:szCs w:val="28"/>
        </w:rPr>
        <w:t xml:space="preserve"> </w:t>
      </w:r>
      <w:r>
        <w:rPr>
          <w:spacing w:val="-4"/>
          <w:szCs w:val="28"/>
          <w:lang w:val="vi-VN"/>
        </w:rPr>
        <w:t>đã đạt được những kết quả quan trọng và có tác động tích cực đến diện mạo nông thôn của tỉnh. Cụ thể:</w:t>
      </w:r>
    </w:p>
    <w:p>
      <w:pPr>
        <w:widowControl w:val="0"/>
        <w:spacing w:line="276" w:lineRule="auto"/>
        <w:ind w:firstLine="567"/>
        <w:rPr>
          <w:spacing w:val="-4"/>
          <w:szCs w:val="28"/>
          <w:lang w:val="vi-VN"/>
        </w:rPr>
      </w:pPr>
      <w:r>
        <w:rPr>
          <w:spacing w:val="-4"/>
          <w:szCs w:val="28"/>
          <w:lang w:val="vi-VN"/>
        </w:rPr>
        <w:t>Thứ nhất, về tính pháp lý và công cụ điều hành: Nghị quyết số 256/2022/NQ-HĐND ngày 13/7/2022</w:t>
      </w:r>
      <w:r>
        <w:rPr>
          <w:spacing w:val="-4"/>
          <w:szCs w:val="28"/>
        </w:rPr>
        <w:t xml:space="preserve"> (được sửa đổi, bổ sung tại </w:t>
      </w:r>
      <w:r>
        <w:rPr>
          <w:bCs/>
          <w:szCs w:val="28"/>
          <w:shd w:val="clear" w:color="auto" w:fill="FFFFFF"/>
        </w:rPr>
        <w:t>Nghị quyết số 22/2025/NQ-HĐND</w:t>
      </w:r>
      <w:r>
        <w:rPr>
          <w:rStyle w:val="ng-star-inserted"/>
          <w:szCs w:val="28"/>
          <w:shd w:val="clear" w:color="auto" w:fill="FFFFFF"/>
        </w:rPr>
        <w:t xml:space="preserve"> ngày 21/7/2025)</w:t>
      </w:r>
      <w:r>
        <w:rPr>
          <w:spacing w:val="-4"/>
          <w:szCs w:val="28"/>
          <w:lang w:val="vi-VN"/>
        </w:rPr>
        <w:t xml:space="preserve"> đã được </w:t>
      </w:r>
      <w:r>
        <w:rPr>
          <w:spacing w:val="-4"/>
          <w:szCs w:val="28"/>
        </w:rPr>
        <w:t>Hội đồng nhân dân tỉnh</w:t>
      </w:r>
      <w:r>
        <w:rPr>
          <w:spacing w:val="-4"/>
          <w:szCs w:val="28"/>
          <w:lang w:val="vi-VN"/>
        </w:rPr>
        <w:t xml:space="preserve"> ban hành đúng thẩm quyền, bảo đảm tính thống nhất và phù hợp với quy định của Luật Đầu tư công, Luật Ngân sách nhà nước và các Nghị quyết của Quốc hội về chủ trương đầu tư Chương trình mục tiêu quốc gia (MTQG) xây dựng nông thôn mới. Các nguyên tắc, tiêu chí và định mức phân bổ vốn trong Quyết định được thiết kế theo hướng định lượng, minh bạch và dễ áp dụng. Điều này đã tạo cơ sở pháp lý vững chắc để tỉnh Thanh Hóa chủ động xây dựng phương án phân bổ vốn trung hạn và hằng năm, giúp chính quyền các cấp có căn cứ rõ ràng để tổ chức thực hiện và giám sát nguồn lực.</w:t>
      </w:r>
    </w:p>
    <w:p>
      <w:pPr>
        <w:widowControl w:val="0"/>
        <w:spacing w:line="276" w:lineRule="auto"/>
        <w:ind w:firstLine="567"/>
        <w:rPr>
          <w:spacing w:val="-4"/>
          <w:szCs w:val="28"/>
          <w:lang w:val="vi-VN"/>
        </w:rPr>
      </w:pPr>
      <w:r>
        <w:rPr>
          <w:spacing w:val="-4"/>
          <w:szCs w:val="28"/>
          <w:lang w:val="vi-VN"/>
        </w:rPr>
        <w:t>Thứ hai, về hiệu quả phân bổ và sử dụng nguồn lực: Cơ chế phân bổ theo Quyết định đã giúp bảo đảm nguồn vốn ngân sách trung ương</w:t>
      </w:r>
      <w:r>
        <w:rPr>
          <w:spacing w:val="-4"/>
          <w:szCs w:val="28"/>
        </w:rPr>
        <w:t xml:space="preserve"> và ngân sách tỉnh</w:t>
      </w:r>
      <w:r>
        <w:rPr>
          <w:spacing w:val="-4"/>
          <w:szCs w:val="28"/>
          <w:lang w:val="vi-VN"/>
        </w:rPr>
        <w:t xml:space="preserve"> được tập trung đúng địa bàn và đối tượng cần ưu tiên, nhất là các xã đặc biệt khó khăn và xã biên giới tại khu vực miền núi của tỉnh. Việc quy định cụ thể tỷ lệ vốn đối ứng đã nâng cao trách nhiệm của ngân sách địa phương, đồng thời phát huy tốt vai trò “vốn mồi” của ngân sách nhà nước để kích hoạt các nguồn lực xã hội, vốn tín dụng và đóng góp tự nguyện từ cộng đồng. Quá trình thực hiện tại Thanh Hóa nhìn chung bảo đảm tính công khai, dân chủ, phù hợp với điều kiện thực tiễn và đáp ứng được nguyện vọng của nhân dân trong giai đoạn 2021–2025.</w:t>
      </w:r>
    </w:p>
    <w:p>
      <w:pPr>
        <w:widowControl w:val="0"/>
        <w:spacing w:line="276" w:lineRule="auto"/>
        <w:ind w:firstLine="567"/>
        <w:rPr>
          <w:spacing w:val="-4"/>
          <w:szCs w:val="28"/>
          <w:lang w:val="vi-VN"/>
        </w:rPr>
      </w:pPr>
      <w:r>
        <w:rPr>
          <w:spacing w:val="-4"/>
          <w:szCs w:val="28"/>
          <w:lang w:val="vi-VN"/>
        </w:rPr>
        <w:t xml:space="preserve">Thứ ba, về sự cần thiết phải hoàn thiện cho giai đoạn mới: Mặc dù đã hoàn thành vai trò thiết lập khuôn khổ pháp lý cho giai đoạn vừa qua, nhưng trước bối cảnh tổ chức thực hiện các chương trình MTQG từ năm 2026 có những thay đổi căn bản, cơ chế hiện hành đã bộc lộ những giới hạn khách quan. Cụ thể là yêu cầu tích hợp 03 Chương trình MTQG thành một Chương trình thống nhất theo Nghị quyết số 257/2025/QH15 của Quốc hội </w:t>
      </w:r>
      <w:r>
        <w:rPr>
          <w:spacing w:val="-4"/>
          <w:szCs w:val="28"/>
        </w:rPr>
        <w:t xml:space="preserve">và </w:t>
      </w:r>
      <w:r>
        <w:rPr>
          <w:iCs/>
          <w:szCs w:val="28"/>
          <w:lang w:val="vi-VN"/>
        </w:rPr>
        <w:t>Quyết định số </w:t>
      </w:r>
      <w:hyperlink r:id="rId9" w:tgtFrame="_blank" w:tooltip="Quyết định 07/2022/QĐ-TTg" w:history="1">
        <w:r>
          <w:rPr>
            <w:rStyle w:val="Hyperlink"/>
            <w:iCs/>
            <w:color w:val="auto"/>
            <w:szCs w:val="28"/>
            <w:u w:val="none"/>
          </w:rPr>
          <w:t>16</w:t>
        </w:r>
        <w:r>
          <w:rPr>
            <w:rStyle w:val="Hyperlink"/>
            <w:iCs/>
            <w:color w:val="auto"/>
            <w:szCs w:val="28"/>
            <w:u w:val="none"/>
            <w:lang w:val="vi-VN"/>
          </w:rPr>
          <w:t>/202</w:t>
        </w:r>
        <w:r>
          <w:rPr>
            <w:rStyle w:val="Hyperlink"/>
            <w:iCs/>
            <w:color w:val="auto"/>
            <w:szCs w:val="28"/>
            <w:u w:val="none"/>
          </w:rPr>
          <w:t>6</w:t>
        </w:r>
        <w:r>
          <w:rPr>
            <w:rStyle w:val="Hyperlink"/>
            <w:iCs/>
            <w:color w:val="auto"/>
            <w:szCs w:val="28"/>
            <w:u w:val="none"/>
            <w:lang w:val="vi-VN"/>
          </w:rPr>
          <w:t>/QĐ-TTg</w:t>
        </w:r>
      </w:hyperlink>
      <w:r>
        <w:rPr>
          <w:iCs/>
          <w:szCs w:val="28"/>
          <w:lang w:val="vi-VN"/>
        </w:rPr>
        <w:t> ngày</w:t>
      </w:r>
      <w:r>
        <w:rPr>
          <w:iCs/>
          <w:szCs w:val="28"/>
        </w:rPr>
        <w:t xml:space="preserve"> 15 </w:t>
      </w:r>
      <w:r>
        <w:rPr>
          <w:iCs/>
          <w:szCs w:val="28"/>
          <w:lang w:val="vi-VN"/>
        </w:rPr>
        <w:t xml:space="preserve">tháng </w:t>
      </w:r>
      <w:r>
        <w:rPr>
          <w:iCs/>
          <w:szCs w:val="28"/>
        </w:rPr>
        <w:t>4</w:t>
      </w:r>
      <w:r>
        <w:rPr>
          <w:iCs/>
          <w:szCs w:val="28"/>
          <w:lang w:val="vi-VN"/>
        </w:rPr>
        <w:t xml:space="preserve"> năm 202</w:t>
      </w:r>
      <w:r>
        <w:rPr>
          <w:iCs/>
          <w:szCs w:val="28"/>
        </w:rPr>
        <w:t>6</w:t>
      </w:r>
      <w:r>
        <w:rPr>
          <w:iCs/>
          <w:szCs w:val="28"/>
          <w:lang w:val="vi-VN"/>
        </w:rPr>
        <w:t xml:space="preserve"> của Thủ tướng Chính phủ </w:t>
      </w:r>
      <w:bookmarkStart w:id="1" w:name="_Hlk227594255"/>
      <w:r>
        <w:rPr>
          <w:iCs/>
          <w:szCs w:val="28"/>
          <w:lang w:val="vi-VN"/>
        </w:rPr>
        <w:t>quy định nguyên tắc, tiêu chí, định mức phân bổ v</w:t>
      </w:r>
      <w:r>
        <w:rPr>
          <w:iCs/>
          <w:szCs w:val="28"/>
        </w:rPr>
        <w:t>ố</w:t>
      </w:r>
      <w:r>
        <w:rPr>
          <w:iCs/>
          <w:szCs w:val="28"/>
          <w:lang w:val="vi-VN"/>
        </w:rPr>
        <w:t>n ngân sách trung ương và tỷ lệ vốn đối ứng của ngân sách địa phương thực hiện Chương trình</w:t>
      </w:r>
      <w:bookmarkEnd w:id="1"/>
      <w:r>
        <w:rPr>
          <w:iCs/>
          <w:szCs w:val="28"/>
          <w:lang w:val="vi-VN"/>
        </w:rPr>
        <w:t xml:space="preserve"> </w:t>
      </w:r>
      <w:r>
        <w:rPr>
          <w:rFonts w:eastAsia="Calibri"/>
          <w:szCs w:val="28"/>
        </w:rPr>
        <w:t>mục tiêu quốc gia xây dựng nông thôn mới, giảm nghèo bền vững và phát triển kinh tế -  xã hội vùng đồng bào dân tộc thiểu số và miền núi, giai đoạn 2026-2030</w:t>
      </w:r>
      <w:r>
        <w:rPr>
          <w:rFonts w:eastAsia="Calibri"/>
          <w:i/>
          <w:szCs w:val="28"/>
        </w:rPr>
        <w:t xml:space="preserve"> </w:t>
      </w:r>
      <w:r>
        <w:rPr>
          <w:spacing w:val="-4"/>
          <w:szCs w:val="28"/>
          <w:lang w:val="vi-VN"/>
        </w:rPr>
        <w:t>đòi hỏi một cơ chế phân bổ có tính điều tiết tổng thể hơn, tránh chồng chéo tiêu chí trên cùng một địa bàn.</w:t>
      </w:r>
    </w:p>
    <w:p>
      <w:pPr>
        <w:widowControl w:val="0"/>
        <w:spacing w:line="276" w:lineRule="auto"/>
        <w:ind w:firstLine="567"/>
        <w:rPr>
          <w:spacing w:val="-4"/>
          <w:szCs w:val="28"/>
          <w:lang w:val="vi-VN"/>
        </w:rPr>
      </w:pPr>
      <w:r>
        <w:rPr>
          <w:spacing w:val="-4"/>
          <w:szCs w:val="28"/>
          <w:lang w:val="vi-VN"/>
        </w:rPr>
        <w:t xml:space="preserve">Đồng thời, việc tỉnh Thanh Hóa cũng như cả nước chuyển đổi sang mô hình tổ chức chính quyền địa phương 02 cấp (cấp tỉnh và cấp xã) từ năm 2025 đặt ra đòi hỏi phải tăng cường phân cấp mạnh mẽ hơn, gắn chặt trách nhiệm giải trình với hiệu quả sử dụng vốn. Yêu cầu về siết chặt kỷ luật tài chính và đẩy mạnh chuyển đổi số trong quản lý đầu tư công cũng đặt ra nhu cầu về một hệ thống tiêu chí phân bổ linh hoạt, </w:t>
      </w:r>
      <w:r>
        <w:rPr>
          <w:spacing w:val="-4"/>
          <w:szCs w:val="28"/>
          <w:lang w:val="vi-VN"/>
        </w:rPr>
        <w:lastRenderedPageBreak/>
        <w:t>có khả năng số hóa và gắn kết trực tiếp với khả năng cân đối ngân sách thực tế của từng địa phương.</w:t>
      </w:r>
    </w:p>
    <w:p>
      <w:pPr>
        <w:widowControl w:val="0"/>
        <w:spacing w:line="276" w:lineRule="auto"/>
        <w:ind w:firstLine="567"/>
        <w:rPr>
          <w:spacing w:val="-4"/>
          <w:szCs w:val="28"/>
        </w:rPr>
      </w:pPr>
      <w:r>
        <w:rPr>
          <w:spacing w:val="-4"/>
          <w:szCs w:val="28"/>
        </w:rPr>
        <w:t xml:space="preserve">Do đó; </w:t>
      </w:r>
      <w:r>
        <w:rPr>
          <w:spacing w:val="-4"/>
          <w:szCs w:val="28"/>
          <w:lang w:val="vi-VN"/>
        </w:rPr>
        <w:t xml:space="preserve">Việc xây dựng và ban hành </w:t>
      </w:r>
      <w:r>
        <w:rPr>
          <w:spacing w:val="-4"/>
          <w:szCs w:val="28"/>
        </w:rPr>
        <w:t>Nghị quyết</w:t>
      </w:r>
      <w:r>
        <w:rPr>
          <w:spacing w:val="-4"/>
          <w:szCs w:val="28"/>
          <w:lang w:val="vi-VN"/>
        </w:rPr>
        <w:t xml:space="preserve"> mới của </w:t>
      </w:r>
      <w:r>
        <w:rPr>
          <w:spacing w:val="-4"/>
          <w:szCs w:val="28"/>
        </w:rPr>
        <w:t>Hội đồng nhân dân tỉnh</w:t>
      </w:r>
      <w:r>
        <w:rPr>
          <w:spacing w:val="-4"/>
          <w:szCs w:val="28"/>
          <w:lang w:val="vi-VN"/>
        </w:rPr>
        <w:t xml:space="preserve"> cho giai đoạn 2026–2030 là yêu cầu khách quan và hết sức cấp thiết đối với tỉnh Thanh Hóa. </w:t>
      </w:r>
      <w:r>
        <w:rPr>
          <w:spacing w:val="-4"/>
          <w:szCs w:val="28"/>
        </w:rPr>
        <w:t>Nghị quyết</w:t>
      </w:r>
      <w:r>
        <w:rPr>
          <w:spacing w:val="-4"/>
          <w:szCs w:val="28"/>
          <w:lang w:val="vi-VN"/>
        </w:rPr>
        <w:t xml:space="preserve"> mới cần bảo đảm tính kế thừa những ưu điểm của cơ chế hiện hành, đồng thời khắc phục triệt để các bất cập về tính rời rạc giữa các chương trình để tạo ra sức mạnh tổng hợp, đáp ứng yêu cầu quản trị nguồn lực nông thôn trong giai đoạn phát triển mới</w:t>
      </w:r>
      <w:r>
        <w:rPr>
          <w:spacing w:val="-4"/>
          <w:szCs w:val="28"/>
        </w:rPr>
        <w:t>.</w:t>
      </w:r>
    </w:p>
    <w:p>
      <w:pPr>
        <w:widowControl w:val="0"/>
        <w:spacing w:line="276" w:lineRule="auto"/>
        <w:ind w:firstLine="567"/>
        <w:rPr>
          <w:b/>
          <w:bCs/>
          <w:szCs w:val="28"/>
          <w:shd w:val="clear" w:color="auto" w:fill="FFFFFF"/>
        </w:rPr>
      </w:pPr>
      <w:r>
        <w:rPr>
          <w:b/>
          <w:bCs/>
          <w:spacing w:val="-4"/>
          <w:szCs w:val="28"/>
          <w:lang w:val="da-DK"/>
        </w:rPr>
        <w:t xml:space="preserve">2. </w:t>
      </w:r>
      <w:r>
        <w:rPr>
          <w:b/>
          <w:bCs/>
          <w:spacing w:val="-4"/>
          <w:szCs w:val="28"/>
        </w:rPr>
        <w:t xml:space="preserve">Kết quả thực hiện </w:t>
      </w:r>
      <w:r>
        <w:rPr>
          <w:b/>
          <w:bCs/>
          <w:spacing w:val="-4"/>
          <w:szCs w:val="28"/>
          <w:lang w:val="vi-VN"/>
        </w:rPr>
        <w:t xml:space="preserve">Nghị quyết số </w:t>
      </w:r>
      <w:r>
        <w:rPr>
          <w:b/>
          <w:bCs/>
          <w:spacing w:val="-4"/>
          <w:szCs w:val="28"/>
        </w:rPr>
        <w:t>257</w:t>
      </w:r>
      <w:r>
        <w:rPr>
          <w:b/>
          <w:bCs/>
          <w:spacing w:val="-4"/>
          <w:szCs w:val="28"/>
          <w:lang w:val="vi-VN"/>
        </w:rPr>
        <w:t>/2022/NQ-HĐND ngày 13/7/2022</w:t>
      </w:r>
      <w:r>
        <w:rPr>
          <w:b/>
          <w:bCs/>
          <w:spacing w:val="-4"/>
          <w:szCs w:val="28"/>
        </w:rPr>
        <w:t xml:space="preserve"> của Hội đồng nhân dân tỉnh (được sửa đổi tại </w:t>
      </w:r>
      <w:r>
        <w:rPr>
          <w:b/>
          <w:bCs/>
          <w:iCs/>
          <w:szCs w:val="28"/>
        </w:rPr>
        <w:t>Nghị quyết số 11/2023/NQ-HĐND ngày 29/9/2023 của HĐND tỉnh</w:t>
      </w:r>
      <w:r>
        <w:rPr>
          <w:b/>
          <w:bCs/>
          <w:szCs w:val="28"/>
          <w:shd w:val="clear" w:color="auto" w:fill="FFFFFF"/>
        </w:rPr>
        <w:t xml:space="preserve">) </w:t>
      </w:r>
      <w:r>
        <w:rPr>
          <w:b/>
          <w:bCs/>
        </w:rPr>
        <w:t>quy định nguyên tắc, tiêu chí, định mức phân bổ vốn ngân sách Trung ương và tỷ lệ vốn đối ứng của ngân sách địa phương thực hiện Chương trình mục tiêu quốc gia giảm nghèo bền vững giai đoạn 2021</w:t>
      </w:r>
      <w:r>
        <w:rPr>
          <w:b/>
          <w:bCs/>
          <w:lang w:val="vi-VN"/>
        </w:rPr>
        <w:t>-</w:t>
      </w:r>
      <w:r>
        <w:rPr>
          <w:b/>
          <w:bCs/>
        </w:rPr>
        <w:t>2025</w:t>
      </w:r>
    </w:p>
    <w:p>
      <w:pPr>
        <w:widowControl w:val="0"/>
        <w:spacing w:line="276" w:lineRule="auto"/>
        <w:ind w:firstLine="567"/>
        <w:rPr>
          <w:b/>
          <w:bCs/>
          <w:i/>
          <w:iCs/>
          <w:spacing w:val="-4"/>
          <w:szCs w:val="28"/>
          <w:lang w:val="da-DK"/>
        </w:rPr>
      </w:pPr>
      <w:r>
        <w:rPr>
          <w:b/>
          <w:bCs/>
          <w:i/>
          <w:iCs/>
          <w:spacing w:val="-4"/>
          <w:szCs w:val="28"/>
          <w:lang w:val="da-DK"/>
        </w:rPr>
        <w:t xml:space="preserve">2.1. Công tác chỉ đạo, triển khai và tổ chức thi hành </w:t>
      </w:r>
    </w:p>
    <w:p>
      <w:pPr>
        <w:widowControl w:val="0"/>
        <w:spacing w:line="276" w:lineRule="auto"/>
        <w:ind w:firstLine="567"/>
        <w:rPr>
          <w:bCs/>
          <w:iCs/>
          <w:spacing w:val="-4"/>
          <w:szCs w:val="28"/>
        </w:rPr>
      </w:pPr>
      <w:r>
        <w:rPr>
          <w:b/>
          <w:bCs/>
          <w:iCs/>
          <w:spacing w:val="-4"/>
          <w:szCs w:val="28"/>
          <w:lang w:val="vi-VN"/>
        </w:rPr>
        <w:t>a) Ở Trung ương</w:t>
      </w:r>
      <w:r>
        <w:rPr>
          <w:b/>
          <w:bCs/>
          <w:iCs/>
          <w:spacing w:val="-4"/>
          <w:szCs w:val="28"/>
        </w:rPr>
        <w:t xml:space="preserve">: </w:t>
      </w:r>
      <w:r>
        <w:rPr>
          <w:bCs/>
          <w:iCs/>
          <w:spacing w:val="-4"/>
          <w:szCs w:val="28"/>
          <w:lang w:val="vi-VN"/>
        </w:rPr>
        <w:t>Căn cứ vào Quyết định số 02/2022/QĐ-TTg và các mục tiêu, nhiệm vụ trọng tâm của Chương trình MTQG</w:t>
      </w:r>
      <w:r>
        <w:rPr>
          <w:bCs/>
          <w:iCs/>
          <w:spacing w:val="-4"/>
          <w:szCs w:val="28"/>
        </w:rPr>
        <w:t xml:space="preserve"> </w:t>
      </w:r>
      <w:r>
        <w:rPr>
          <w:bCs/>
          <w:iCs/>
          <w:spacing w:val="-4"/>
          <w:szCs w:val="28"/>
          <w:lang w:val="vi-VN"/>
        </w:rPr>
        <w:t xml:space="preserve">giảm nghèo bền vững giai đoạn 2021-2025, các bộ, ngành trung ương đã </w:t>
      </w:r>
      <w:r>
        <w:rPr>
          <w:bCs/>
          <w:iCs/>
          <w:spacing w:val="-4"/>
          <w:szCs w:val="28"/>
        </w:rPr>
        <w:t xml:space="preserve">tham mưu cho Chính phủ </w:t>
      </w:r>
      <w:r>
        <w:rPr>
          <w:bCs/>
          <w:iCs/>
          <w:spacing w:val="-4"/>
          <w:szCs w:val="28"/>
          <w:lang w:val="vi-VN"/>
        </w:rPr>
        <w:t>trong việc định hướng và điều tiết nguồn lực. Bộ Lao động - Thương binh và Xã hội (trước đây) cùng Bộ Nông nghiệp và Môi trường đã chủ trì phối hợp với các bộ, ngành liên quan để ban hành hệ thống văn bản hướng dẫn các địa phương xây dựng kế hoạch thực hiện cũng như kế hoạch vốn đầu tư công trung hạn giai đoạn 2021-2025.</w:t>
      </w:r>
      <w:r>
        <w:rPr>
          <w:bCs/>
          <w:iCs/>
          <w:spacing w:val="-4"/>
          <w:szCs w:val="28"/>
        </w:rPr>
        <w:t xml:space="preserve"> </w:t>
      </w:r>
    </w:p>
    <w:p>
      <w:pPr>
        <w:widowControl w:val="0"/>
        <w:spacing w:line="276" w:lineRule="auto"/>
        <w:ind w:firstLine="567"/>
        <w:rPr>
          <w:bCs/>
          <w:iCs/>
          <w:spacing w:val="-4"/>
          <w:szCs w:val="28"/>
        </w:rPr>
      </w:pPr>
      <w:r>
        <w:rPr>
          <w:bCs/>
          <w:iCs/>
          <w:spacing w:val="-4"/>
          <w:szCs w:val="28"/>
          <w:lang w:val="vi-VN"/>
        </w:rPr>
        <w:t xml:space="preserve">Hằng năm, </w:t>
      </w:r>
      <w:r>
        <w:rPr>
          <w:bCs/>
          <w:iCs/>
          <w:spacing w:val="-4"/>
          <w:szCs w:val="28"/>
        </w:rPr>
        <w:t xml:space="preserve">Trung ương đã </w:t>
      </w:r>
      <w:r>
        <w:rPr>
          <w:bCs/>
          <w:iCs/>
          <w:spacing w:val="-4"/>
          <w:szCs w:val="28"/>
          <w:lang w:val="vi-VN"/>
        </w:rPr>
        <w:t xml:space="preserve">thực hiện phân bổ lại vốn ngân sách trung ương (NSTW) theo đúng nguyên tắc, tiêu chí và định mức quy định tại Quyết định số 02/2022/QĐ-TTg. </w:t>
      </w:r>
      <w:r>
        <w:rPr>
          <w:bCs/>
          <w:iCs/>
          <w:spacing w:val="-4"/>
          <w:szCs w:val="28"/>
        </w:rPr>
        <w:t xml:space="preserve">Qua đó, các địa phương </w:t>
      </w:r>
      <w:r>
        <w:rPr>
          <w:bCs/>
          <w:iCs/>
          <w:spacing w:val="-4"/>
          <w:szCs w:val="28"/>
          <w:lang w:val="vi-VN"/>
        </w:rPr>
        <w:t>có cơ sở pháp lý ổn định để chủ động danh mục công trình và kế hoạch giải ngân theo từng năm ngân sách. Công tác kiểm tra, giám sát từ cấp Trung ương cũng được thực hiện chặt chẽ nhằm đảm bảo nguồn vốn giảm nghèo được sử dụng đúng mục đích, đúng đối tượng và đạt hiệu quả tối ưu trong việc giảm tỷ lệ hộ nghèo đa chiều trên phạm vi cả nước.</w:t>
      </w:r>
    </w:p>
    <w:p>
      <w:pPr>
        <w:widowControl w:val="0"/>
        <w:spacing w:line="276" w:lineRule="auto"/>
        <w:ind w:firstLine="567"/>
        <w:rPr>
          <w:bCs/>
          <w:iCs/>
          <w:spacing w:val="-4"/>
          <w:szCs w:val="28"/>
          <w:lang w:val="vi-VN"/>
        </w:rPr>
      </w:pPr>
      <w:r>
        <w:rPr>
          <w:b/>
          <w:bCs/>
          <w:iCs/>
          <w:spacing w:val="-4"/>
          <w:szCs w:val="28"/>
          <w:lang w:val="vi-VN"/>
        </w:rPr>
        <w:t>b) Tại tỉnh Thanh Hóa</w:t>
      </w:r>
      <w:r>
        <w:rPr>
          <w:b/>
          <w:bCs/>
          <w:iCs/>
          <w:spacing w:val="-4"/>
          <w:szCs w:val="28"/>
        </w:rPr>
        <w:t xml:space="preserve">: </w:t>
      </w:r>
      <w:r>
        <w:rPr>
          <w:bCs/>
          <w:iCs/>
          <w:spacing w:val="-4"/>
          <w:szCs w:val="28"/>
          <w:lang w:val="vi-VN"/>
        </w:rPr>
        <w:t>Trên cơ sở bám sát các quy định của Chính phủ, tỉnh Thanh Hóa đã triển khai một cách bài bản, quyết liệt công tác chỉ đạo và cụ thể hóa các tiêu chí phân bổ vốn phù hợp với đặc thù của một tỉnh có quy mô dân số lớn và địa bàn miền núi rộng:</w:t>
      </w:r>
    </w:p>
    <w:p>
      <w:pPr>
        <w:widowControl w:val="0"/>
        <w:spacing w:line="276" w:lineRule="auto"/>
        <w:ind w:firstLine="567"/>
        <w:rPr>
          <w:iCs/>
          <w:spacing w:val="-4"/>
          <w:szCs w:val="28"/>
        </w:rPr>
      </w:pPr>
      <w:r>
        <w:rPr>
          <w:iCs/>
          <w:spacing w:val="-4"/>
          <w:szCs w:val="28"/>
          <w:lang w:val="vi-VN"/>
        </w:rPr>
        <w:t xml:space="preserve">Về việc ban hành văn bản quy phạm pháp luật: Để tạo khung pháp lý đồng bộ, </w:t>
      </w:r>
      <w:r>
        <w:rPr>
          <w:iCs/>
          <w:spacing w:val="-4"/>
          <w:szCs w:val="28"/>
        </w:rPr>
        <w:t xml:space="preserve">UBND tỉnh đã chỉ đạo các cơ quan chuyên môn tham mưu cho </w:t>
      </w:r>
      <w:r>
        <w:rPr>
          <w:iCs/>
          <w:spacing w:val="-4"/>
          <w:szCs w:val="28"/>
          <w:lang w:val="vi-VN"/>
        </w:rPr>
        <w:t xml:space="preserve">HĐND tỉnh đã ban hành Nghị quyết số </w:t>
      </w:r>
      <w:r>
        <w:rPr>
          <w:iCs/>
          <w:spacing w:val="-4"/>
          <w:szCs w:val="28"/>
        </w:rPr>
        <w:t xml:space="preserve">257/2022/NQ-HĐND ngày 13/7/2022 </w:t>
      </w:r>
      <w:r>
        <w:rPr>
          <w:iCs/>
          <w:spacing w:val="-2"/>
          <w:szCs w:val="28"/>
        </w:rPr>
        <w:t xml:space="preserve">quy định nguyên tắc, tiêu chí, định mức phân bổ vốn ngân sách trung ương và tỷ lệ vốn đối ứng của ngân </w:t>
      </w:r>
      <w:r>
        <w:rPr>
          <w:iCs/>
          <w:spacing w:val="-2"/>
          <w:szCs w:val="28"/>
        </w:rPr>
        <w:lastRenderedPageBreak/>
        <w:t>sách địa phương thực hiện chương trình mục tiêu quốc gia giảm nghèo bền vững trên địa bàn tỉnh giai đoạn 2021- 2025 (</w:t>
      </w:r>
      <w:r>
        <w:rPr>
          <w:iCs/>
          <w:szCs w:val="28"/>
        </w:rPr>
        <w:t xml:space="preserve">Nghị quyết số 11/2023/NQ-HĐND ngày 29/9/2023 của HĐND tỉnh về sửa đổi một số nội dung tại Điều 5 của Nghị quyết số </w:t>
      </w:r>
      <w:r>
        <w:rPr>
          <w:iCs/>
          <w:spacing w:val="-4"/>
          <w:szCs w:val="28"/>
        </w:rPr>
        <w:t xml:space="preserve">257/2022/NQ-HĐND). Sau khi thực hiện Chính quyền địa phương hai cấp, </w:t>
      </w:r>
      <w:r>
        <w:rPr>
          <w:iCs/>
          <w:spacing w:val="-4"/>
          <w:szCs w:val="28"/>
          <w:lang w:val="vi-VN"/>
        </w:rPr>
        <w:t xml:space="preserve">để </w:t>
      </w:r>
      <w:r>
        <w:t xml:space="preserve">nguồn vốn thực hiện Chương trình không bị gián đoạn và phù hợp với đơn vị hành chính các cấp, HĐND tỉnh đã ban hành Nghị quyết số 33/2025/NQ-HĐND ngày 21/7/2025 </w:t>
      </w:r>
      <w:r>
        <w:rPr>
          <w:bCs/>
        </w:rPr>
        <w:t>quy định nguyên tắc, tiêu chí, định mức phân bổ vốn ngân sách Trung ương và tỷ lệ vốn đối ứng của ngân sách địa phương thực hiện Chương trình mục tiêu quốc gia giảm nghèo bền vững giai đoạn 2021</w:t>
      </w:r>
      <w:r>
        <w:rPr>
          <w:bCs/>
          <w:lang w:val="vi-VN"/>
        </w:rPr>
        <w:t>-</w:t>
      </w:r>
      <w:r>
        <w:rPr>
          <w:bCs/>
        </w:rPr>
        <w:t>2025</w:t>
      </w:r>
      <w:r>
        <w:rPr>
          <w:bCs/>
          <w:lang w:val="vi-VN"/>
        </w:rPr>
        <w:t xml:space="preserve"> trên địa bàn tỉnh</w:t>
      </w:r>
      <w:r>
        <w:rPr>
          <w:bCs/>
        </w:rPr>
        <w:t xml:space="preserve"> để phù hợp với thực tế. </w:t>
      </w:r>
      <w:r>
        <w:rPr>
          <w:iCs/>
          <w:spacing w:val="-4"/>
          <w:szCs w:val="28"/>
          <w:lang w:val="vi-VN"/>
        </w:rPr>
        <w:t>Các quy định của tỉnh bảo đảm tuân thủ nghiêm túc Luật Đầu tư công, Luật Ngân sách nhà nước và đặc biệt là Quyết định số 02/2022/QĐ-TTg của Thủ tướng Chính phủ.</w:t>
      </w:r>
    </w:p>
    <w:p>
      <w:pPr>
        <w:widowControl w:val="0"/>
        <w:spacing w:line="276" w:lineRule="auto"/>
        <w:ind w:firstLine="567"/>
        <w:rPr>
          <w:iCs/>
          <w:spacing w:val="-4"/>
          <w:szCs w:val="28"/>
          <w:lang w:val="vi-VN"/>
        </w:rPr>
      </w:pPr>
      <w:r>
        <w:rPr>
          <w:iCs/>
          <w:spacing w:val="-4"/>
          <w:szCs w:val="28"/>
          <w:lang w:val="vi-VN"/>
        </w:rPr>
        <w:t>Về bộ máy chỉ đạo và điều hành: Tỉnh ủy và UBND tỉnh đã kiện toàn Ban Chỉ đạo các Chương trình MTQG cấp tỉnh, phân công nhiệm vụ cụ thể cho các sở, ngành thành viên. Đặc biệt, việc sáp nhập Sở Nông nghiệp và Phát triển nông thôn với Sở Tài nguyên và Môi trường thành Sở Nông nghiệp và Môi trường đã tạo điều kiện thuận lợi trong việc quản lý đa ngành, lồng ghép các chính sách hỗ trợ đất sản xuất, nước sinh hoạt gắn với các mô hình giảm nghèo bền vững.</w:t>
      </w:r>
    </w:p>
    <w:p>
      <w:pPr>
        <w:widowControl w:val="0"/>
        <w:spacing w:line="276" w:lineRule="auto"/>
        <w:ind w:firstLine="567"/>
        <w:rPr>
          <w:iCs/>
          <w:spacing w:val="-4"/>
          <w:szCs w:val="28"/>
          <w:lang w:val="vi-VN"/>
        </w:rPr>
      </w:pPr>
      <w:r>
        <w:rPr>
          <w:iCs/>
          <w:spacing w:val="-4"/>
          <w:szCs w:val="28"/>
          <w:lang w:val="vi-VN"/>
        </w:rPr>
        <w:t xml:space="preserve">Về cụ thể hóa các tiêu chí phân bổ: </w:t>
      </w:r>
      <w:r>
        <w:rPr>
          <w:iCs/>
          <w:spacing w:val="-4"/>
          <w:szCs w:val="28"/>
        </w:rPr>
        <w:t>Nghị quyết cảu HĐND</w:t>
      </w:r>
      <w:r>
        <w:rPr>
          <w:iCs/>
          <w:spacing w:val="-4"/>
          <w:szCs w:val="28"/>
          <w:lang w:val="vi-VN"/>
        </w:rPr>
        <w:t xml:space="preserve"> đã </w:t>
      </w:r>
      <w:r>
        <w:rPr>
          <w:iCs/>
          <w:spacing w:val="-4"/>
          <w:szCs w:val="28"/>
        </w:rPr>
        <w:t xml:space="preserve">ban hành </w:t>
      </w:r>
      <w:r>
        <w:rPr>
          <w:iCs/>
          <w:spacing w:val="-4"/>
          <w:szCs w:val="28"/>
          <w:lang w:val="vi-VN"/>
        </w:rPr>
        <w:t xml:space="preserve">hệ thống hệ số phân bổ vốn rất chi tiết cho từng dự án thành phần (như hỗ trợ hạ tầng </w:t>
      </w:r>
      <w:r>
        <w:rPr>
          <w:iCs/>
          <w:spacing w:val="-4"/>
          <w:szCs w:val="28"/>
        </w:rPr>
        <w:t xml:space="preserve">các </w:t>
      </w:r>
      <w:r>
        <w:rPr>
          <w:iCs/>
          <w:spacing w:val="-4"/>
          <w:szCs w:val="28"/>
          <w:lang w:val="vi-VN"/>
        </w:rPr>
        <w:t>huyện nghèo</w:t>
      </w:r>
      <w:r>
        <w:rPr>
          <w:iCs/>
          <w:spacing w:val="-4"/>
          <w:szCs w:val="28"/>
        </w:rPr>
        <w:t xml:space="preserve"> cũ</w:t>
      </w:r>
      <w:r>
        <w:rPr>
          <w:iCs/>
          <w:spacing w:val="-4"/>
          <w:szCs w:val="28"/>
          <w:lang w:val="vi-VN"/>
        </w:rPr>
        <w:t>, xã đặc biệt khó khăn vùng bãi ngang ven biển; đa dạng hóa sinh kế; hỗ trợ nhà ở...). Các tiêu chí này phản ánh khách quan thực trạng nghèo dựa trên: tổng tỷ lệ hộ nghèo và hộ cận nghèo, quy mô dân số, đặc điểm địa lý (xã biên giới, xã an toàn khu) và số lượng đơn vị hành chính cấp thôn.</w:t>
      </w:r>
    </w:p>
    <w:p>
      <w:pPr>
        <w:widowControl w:val="0"/>
        <w:spacing w:line="276" w:lineRule="auto"/>
        <w:ind w:firstLine="567"/>
        <w:rPr>
          <w:iCs/>
          <w:spacing w:val="-4"/>
          <w:szCs w:val="28"/>
        </w:rPr>
      </w:pPr>
      <w:r>
        <w:rPr>
          <w:iCs/>
          <w:spacing w:val="-4"/>
          <w:szCs w:val="28"/>
          <w:lang w:val="vi-VN"/>
        </w:rPr>
        <w:t xml:space="preserve">Về cơ chế vốn đối ứng và huy động nguồn lực: </w:t>
      </w:r>
      <w:r>
        <w:rPr>
          <w:iCs/>
          <w:spacing w:val="-4"/>
          <w:szCs w:val="28"/>
        </w:rPr>
        <w:t xml:space="preserve">Nghị quyết của HĐND ban hành đã quy định rõ vốn đối ứng ngân sách địa phương </w:t>
      </w:r>
      <w:r>
        <w:rPr>
          <w:iCs/>
          <w:spacing w:val="-4"/>
          <w:szCs w:val="28"/>
          <w:lang w:val="vi-VN"/>
        </w:rPr>
        <w:t>tối thiểu bằng 10% tổng vốn NSTW hỗ trợ để thực hiện Chương trình theo quy định</w:t>
      </w:r>
      <w:r>
        <w:rPr>
          <w:iCs/>
          <w:spacing w:val="-4"/>
          <w:szCs w:val="28"/>
        </w:rPr>
        <w:t xml:space="preserve">. </w:t>
      </w:r>
      <w:r>
        <w:rPr>
          <w:iCs/>
          <w:spacing w:val="-4"/>
          <w:szCs w:val="28"/>
          <w:lang w:val="vi-VN"/>
        </w:rPr>
        <w:t>UBND tỉnh đã chỉ đạo các cấp ngân sách địa phương (tỉnh, huyện, xã) bố trí vốn đối ứng</w:t>
      </w:r>
      <w:r>
        <w:rPr>
          <w:iCs/>
          <w:spacing w:val="-4"/>
          <w:szCs w:val="28"/>
        </w:rPr>
        <w:t xml:space="preserve"> đảm bảo theo quy định. </w:t>
      </w:r>
      <w:r>
        <w:rPr>
          <w:iCs/>
          <w:spacing w:val="-4"/>
          <w:szCs w:val="28"/>
          <w:lang w:val="vi-VN"/>
        </w:rPr>
        <w:t>Bên cạnh đó, tỉnh cũng đẩy mạnh cơ chế lồng ghép nguồn vốn từ các chương trình khác, vốn tín dụng chính sách và huy động đóng góp tự nguyện từ cộng đồng, các tổ chức xã hội thông qua Quỹ “Vì người nghèo” để gia tăng tổng lực cho mục tiêu an sinh xã hội.</w:t>
      </w:r>
    </w:p>
    <w:p>
      <w:pPr>
        <w:widowControl w:val="0"/>
        <w:spacing w:line="276" w:lineRule="auto"/>
        <w:ind w:firstLine="567"/>
        <w:rPr>
          <w:iCs/>
          <w:spacing w:val="-4"/>
          <w:szCs w:val="28"/>
          <w:lang w:val="vi-VN"/>
        </w:rPr>
      </w:pPr>
      <w:r>
        <w:rPr>
          <w:iCs/>
          <w:spacing w:val="-4"/>
          <w:szCs w:val="28"/>
          <w:lang w:val="vi-VN"/>
        </w:rPr>
        <w:t>Về công tác kiểm tra, thanh tra: Tỉnh thực hiện quản lý, giám sát và thanh tra định kỳ việc sử dụng nguồn vốn trung hạn và hằng năm. Sở Tài chính và các đơn vị liên quan thường xuyên đôn đốc rà soát danh mục dự án, đảm bảo việc phân bổ vốn có trọng tâm, trọng điểm, không dàn trải và hạn chế tối đa tình trạng lãng phí, thất thoát nguồn lực.</w:t>
      </w:r>
    </w:p>
    <w:p>
      <w:pPr>
        <w:widowControl w:val="0"/>
        <w:spacing w:line="276" w:lineRule="auto"/>
        <w:ind w:firstLine="567"/>
        <w:rPr>
          <w:iCs/>
          <w:spacing w:val="-4"/>
          <w:szCs w:val="28"/>
        </w:rPr>
      </w:pPr>
      <w:r>
        <w:rPr>
          <w:iCs/>
          <w:spacing w:val="-4"/>
          <w:szCs w:val="28"/>
          <w:lang w:val="vi-VN"/>
        </w:rPr>
        <w:t>Nhìn chung, công tác chỉ đạo và tổ chức thi hành</w:t>
      </w:r>
      <w:r>
        <w:rPr>
          <w:iCs/>
          <w:spacing w:val="-4"/>
          <w:szCs w:val="28"/>
        </w:rPr>
        <w:t xml:space="preserve"> các Nghị quyết của HĐND </w:t>
      </w:r>
      <w:r>
        <w:rPr>
          <w:iCs/>
          <w:spacing w:val="-4"/>
          <w:szCs w:val="28"/>
        </w:rPr>
        <w:lastRenderedPageBreak/>
        <w:t xml:space="preserve">tỉnh </w:t>
      </w:r>
      <w:r>
        <w:rPr>
          <w:iCs/>
          <w:spacing w:val="-2"/>
          <w:szCs w:val="28"/>
        </w:rPr>
        <w:t xml:space="preserve">quy định nguyên tắc, tiêu chí, định mức phân bổ vốn ngân sách trung ương và tỷ lệ vốn đối ứng của ngân sách địa phương thực hiện chương trình mục tiêu quốc gia giảm nghèo bền vững </w:t>
      </w:r>
      <w:r>
        <w:rPr>
          <w:iCs/>
          <w:spacing w:val="-4"/>
          <w:szCs w:val="28"/>
        </w:rPr>
        <w:t>trên địa bàn tỉnh</w:t>
      </w:r>
      <w:r>
        <w:rPr>
          <w:iCs/>
          <w:spacing w:val="-4"/>
          <w:szCs w:val="28"/>
          <w:lang w:val="vi-VN"/>
        </w:rPr>
        <w:t xml:space="preserve"> được thực hiện nghiêm túc, thống nhất từ tỉnh đến cơ sở, tạo điều kiện thuận lợi để người dân, đặc biệt là hộ nghèo vùng đồng bào DTTS&amp;MN, tiếp cận kịp thời các chính sách hỗ trợ của Nhà nước.</w:t>
      </w:r>
      <w:r>
        <w:rPr>
          <w:spacing w:val="-4"/>
          <w:szCs w:val="28"/>
          <w:lang w:val="vi-VN"/>
        </w:rPr>
        <w:t xml:space="preserve"> </w:t>
      </w:r>
    </w:p>
    <w:p>
      <w:pPr>
        <w:widowControl w:val="0"/>
        <w:spacing w:line="276" w:lineRule="auto"/>
        <w:ind w:firstLine="567"/>
        <w:rPr>
          <w:b/>
          <w:bCs/>
          <w:i/>
          <w:iCs/>
          <w:spacing w:val="-4"/>
          <w:szCs w:val="28"/>
          <w:lang w:val="da-DK"/>
        </w:rPr>
      </w:pPr>
      <w:r>
        <w:rPr>
          <w:b/>
          <w:bCs/>
          <w:i/>
          <w:iCs/>
          <w:spacing w:val="-4"/>
          <w:szCs w:val="28"/>
          <w:lang w:val="da-DK"/>
        </w:rPr>
        <w:t>2.2. Kết quả thi hành, đánh giá ưu điểm, bất cập, hạn chế của Nghị quyết</w:t>
      </w:r>
    </w:p>
    <w:p>
      <w:pPr>
        <w:widowControl w:val="0"/>
        <w:spacing w:line="276" w:lineRule="auto"/>
        <w:ind w:firstLine="567"/>
        <w:rPr>
          <w:spacing w:val="-4"/>
          <w:szCs w:val="28"/>
        </w:rPr>
      </w:pPr>
      <w:r>
        <w:rPr>
          <w:i/>
          <w:iCs/>
          <w:spacing w:val="-4"/>
          <w:szCs w:val="28"/>
          <w:lang w:val="vi-VN"/>
        </w:rPr>
        <w:t xml:space="preserve">a) Kết quả thi hành </w:t>
      </w:r>
      <w:r>
        <w:rPr>
          <w:i/>
          <w:iCs/>
          <w:spacing w:val="-4"/>
          <w:szCs w:val="28"/>
          <w:lang w:val="da-DK"/>
        </w:rPr>
        <w:t xml:space="preserve">Nghị quyết: </w:t>
      </w:r>
      <w:r>
        <w:rPr>
          <w:spacing w:val="-4"/>
          <w:szCs w:val="28"/>
          <w:lang w:val="da-DK"/>
        </w:rPr>
        <w:t xml:space="preserve">Trên cơ sở các nguyên tắc, tiêu chí và định mức do Trung ương ban hành tại </w:t>
      </w:r>
      <w:r>
        <w:rPr>
          <w:spacing w:val="-4"/>
          <w:szCs w:val="28"/>
          <w:lang w:val="vi-VN"/>
        </w:rPr>
        <w:t>Quyết định số 02/2022/QĐ-TTg</w:t>
      </w:r>
      <w:r>
        <w:rPr>
          <w:spacing w:val="-4"/>
          <w:szCs w:val="28"/>
        </w:rPr>
        <w:t xml:space="preserve">, HĐND tỉnh </w:t>
      </w:r>
      <w:r>
        <w:rPr>
          <w:spacing w:val="-4"/>
          <w:szCs w:val="28"/>
          <w:lang w:val="vi-VN"/>
        </w:rPr>
        <w:t xml:space="preserve">đã cụ thể hóa thông qua </w:t>
      </w:r>
      <w:r>
        <w:rPr>
          <w:spacing w:val="-4"/>
          <w:szCs w:val="28"/>
        </w:rPr>
        <w:t xml:space="preserve">các </w:t>
      </w:r>
      <w:r>
        <w:rPr>
          <w:spacing w:val="-4"/>
          <w:szCs w:val="28"/>
          <w:lang w:val="vi-VN"/>
        </w:rPr>
        <w:t xml:space="preserve">Nghị quyết </w:t>
      </w:r>
      <w:r>
        <w:rPr>
          <w:spacing w:val="-4"/>
          <w:szCs w:val="28"/>
        </w:rPr>
        <w:t>về tiêu chí, định mức, định mức phân bổ vốn của Chương trình đã</w:t>
      </w:r>
      <w:r>
        <w:rPr>
          <w:spacing w:val="-4"/>
          <w:szCs w:val="28"/>
          <w:lang w:val="vi-VN"/>
        </w:rPr>
        <w:t xml:space="preserve"> giúp việc giao kế hoạch vốn trung hạn và hằng năm được thực hiện công khai, minh bạch</w:t>
      </w:r>
      <w:r>
        <w:rPr>
          <w:spacing w:val="-4"/>
          <w:szCs w:val="28"/>
        </w:rPr>
        <w:t xml:space="preserve"> phân </w:t>
      </w:r>
      <w:r>
        <w:rPr>
          <w:spacing w:val="-4"/>
          <w:szCs w:val="28"/>
          <w:lang w:val="vi-VN"/>
        </w:rPr>
        <w:t>bổ nguồn lực giảm nghèo, chuyển từ hỗ trợ dàn trải sang đầu tư có trọng tâm, trọng điểm</w:t>
      </w:r>
      <w:r>
        <w:rPr>
          <w:spacing w:val="-4"/>
          <w:szCs w:val="28"/>
        </w:rPr>
        <w:t>.</w:t>
      </w:r>
    </w:p>
    <w:p>
      <w:pPr>
        <w:widowControl w:val="0"/>
        <w:spacing w:line="276" w:lineRule="auto"/>
        <w:ind w:firstLine="567"/>
        <w:rPr>
          <w:spacing w:val="-4"/>
          <w:szCs w:val="28"/>
          <w:lang w:val="vi-VN"/>
        </w:rPr>
      </w:pPr>
      <w:r>
        <w:rPr>
          <w:spacing w:val="-4"/>
          <w:szCs w:val="28"/>
          <w:lang w:val="vi-VN"/>
        </w:rPr>
        <w:t xml:space="preserve">Nguồn vốn ngân sách trung ương (NSTW) được phân bổ tập trung vào các dự án then chốt như: </w:t>
      </w:r>
      <w:r>
        <w:rPr>
          <w:spacing w:val="-4"/>
          <w:szCs w:val="28"/>
        </w:rPr>
        <w:t>H</w:t>
      </w:r>
      <w:r>
        <w:rPr>
          <w:spacing w:val="-4"/>
          <w:szCs w:val="28"/>
          <w:lang w:val="vi-VN"/>
        </w:rPr>
        <w:t>ỗ trợ hạ tầng các huyện nghèo</w:t>
      </w:r>
      <w:r>
        <w:rPr>
          <w:spacing w:val="-4"/>
          <w:szCs w:val="28"/>
        </w:rPr>
        <w:t xml:space="preserve"> cũ</w:t>
      </w:r>
      <w:r>
        <w:rPr>
          <w:spacing w:val="-4"/>
          <w:szCs w:val="28"/>
          <w:lang w:val="vi-VN"/>
        </w:rPr>
        <w:t>, các xã đặc biệt khó khăn vùng bãi ngang, ven biển và hải đảo; đa dạng hóa sinh kế; phát triển sản xuất và hỗ trợ nhà ở cho hộ nghèo…</w:t>
      </w:r>
      <w:r>
        <w:rPr>
          <w:spacing w:val="-4"/>
          <w:szCs w:val="28"/>
        </w:rPr>
        <w:t xml:space="preserve"> Theo đó, căn cứ nguồn vốn Trung ương cấp, tỉnh Thanh Hoá đã phân bổ vốn chi tiết cho các đơn vị, địa phương thực hiện các nội dung của Chương trình: Đối với nguồn vốn đầu tư </w:t>
      </w:r>
      <w:r>
        <w:rPr>
          <w:szCs w:val="28"/>
        </w:rPr>
        <w:t xml:space="preserve">đã giao vốn chi tiết thực hiện dự án là 1.613.678 triệu đồng; đối với nguồn vốn sự nghiệp </w:t>
      </w:r>
      <w:r>
        <w:rPr>
          <w:bCs/>
          <w:iCs/>
          <w:szCs w:val="28"/>
        </w:rPr>
        <w:t xml:space="preserve">nguồn ngân sách trung ương đã giao chi tiết là 1.560.778 triệu đồng </w:t>
      </w:r>
      <w:r>
        <w:rPr>
          <w:bCs/>
          <w:i/>
          <w:iCs/>
          <w:szCs w:val="28"/>
        </w:rPr>
        <w:t>(</w:t>
      </w:r>
      <w:r>
        <w:rPr>
          <w:i/>
          <w:iCs/>
          <w:szCs w:val="28"/>
        </w:rPr>
        <w:t xml:space="preserve">năm 2021 là 37.455 triệu đồng; năm 2022 là 132.965 triệu đồng; năm 2023 là 514.715 triệu đồng; năm 2024 là 500.454 triệu đồng; năm 2025 là 375.189 triệu đồng). </w:t>
      </w:r>
      <w:r>
        <w:rPr>
          <w:spacing w:val="-4"/>
          <w:szCs w:val="28"/>
          <w:lang w:val="vi-VN"/>
        </w:rPr>
        <w:t>Tỉnh đã nghiêm túc thực hiện quy định về vốn đối ứng, bảo đảm ngân sách địa phương các cấp bố trí tối thiểu 10% tổng vốn NSTW hỗ trợ để thực hiện Chương trình. Cơ chế phân bổ theo Quyết định 02/2022/QĐ-TTg cũng đã phát huy vai trò “vốn mồi”, giúp Thanh Hóa huy động thêm các nguồn lực hợp pháp khác, vốn tín dụng chính sách và đóng góp từ cộng đồng thông qua Quỹ “Vì người nghèo” để thực hiện các chính sách an sinh xã hội thường xuyên.</w:t>
      </w:r>
    </w:p>
    <w:p>
      <w:pPr>
        <w:widowControl w:val="0"/>
        <w:spacing w:line="276" w:lineRule="auto"/>
        <w:ind w:firstLine="567"/>
        <w:rPr>
          <w:i/>
          <w:iCs/>
          <w:spacing w:val="-4"/>
          <w:szCs w:val="28"/>
        </w:rPr>
      </w:pPr>
      <w:r>
        <w:rPr>
          <w:i/>
          <w:iCs/>
          <w:spacing w:val="-4"/>
          <w:szCs w:val="28"/>
          <w:lang w:val="vi-VN"/>
        </w:rPr>
        <w:t>b) Về ưu điểm</w:t>
      </w:r>
      <w:r>
        <w:rPr>
          <w:i/>
          <w:iCs/>
          <w:spacing w:val="-4"/>
          <w:szCs w:val="28"/>
        </w:rPr>
        <w:t>:</w:t>
      </w:r>
    </w:p>
    <w:p>
      <w:pPr>
        <w:widowControl w:val="0"/>
        <w:spacing w:line="276" w:lineRule="auto"/>
        <w:ind w:firstLine="567"/>
        <w:rPr>
          <w:spacing w:val="-4"/>
          <w:szCs w:val="28"/>
        </w:rPr>
      </w:pPr>
      <w:r>
        <w:rPr>
          <w:spacing w:val="-4"/>
          <w:szCs w:val="28"/>
          <w:lang w:val="vi-VN"/>
        </w:rPr>
        <w:t xml:space="preserve">Quản lý tập trung, thống nhất: </w:t>
      </w:r>
      <w:r>
        <w:rPr>
          <w:spacing w:val="-4"/>
          <w:szCs w:val="28"/>
        </w:rPr>
        <w:t>Nghị quyết</w:t>
      </w:r>
      <w:r>
        <w:rPr>
          <w:spacing w:val="-4"/>
          <w:szCs w:val="28"/>
          <w:lang w:val="vi-VN"/>
        </w:rPr>
        <w:t xml:space="preserve"> đã </w:t>
      </w:r>
      <w:r>
        <w:rPr>
          <w:spacing w:val="-4"/>
          <w:szCs w:val="28"/>
        </w:rPr>
        <w:t xml:space="preserve">ban hành các </w:t>
      </w:r>
      <w:r>
        <w:rPr>
          <w:iCs/>
          <w:spacing w:val="-2"/>
          <w:szCs w:val="28"/>
        </w:rPr>
        <w:t xml:space="preserve">quy định về  nguyên tắc, tiêu chí, định mức phân bổ vốn cho các đơn vị, địa phương đồng bộ, minh bạch trên địa bàn tỉnh. Qua đó, </w:t>
      </w:r>
      <w:r>
        <w:rPr>
          <w:spacing w:val="-4"/>
          <w:szCs w:val="28"/>
          <w:lang w:val="vi-VN"/>
        </w:rPr>
        <w:t>giúp hạn chế tối đa cơ chế "xin - cho" và tạo thuận lợi cho công tác giám sát của Hội đồng nhân dân các cấp</w:t>
      </w:r>
      <w:r>
        <w:rPr>
          <w:spacing w:val="-4"/>
          <w:szCs w:val="28"/>
        </w:rPr>
        <w:t>.</w:t>
      </w:r>
    </w:p>
    <w:p>
      <w:pPr>
        <w:widowControl w:val="0"/>
        <w:spacing w:line="276" w:lineRule="auto"/>
        <w:ind w:firstLine="567"/>
        <w:rPr>
          <w:spacing w:val="-4"/>
          <w:szCs w:val="28"/>
          <w:lang w:val="vi-VN"/>
        </w:rPr>
      </w:pPr>
      <w:r>
        <w:rPr>
          <w:spacing w:val="-4"/>
          <w:szCs w:val="28"/>
          <w:lang w:val="vi-VN"/>
        </w:rPr>
        <w:t>Hệ thống tiêu chí khách quan: Việc phân bổ vốn dựa trên tổng tỷ lệ hộ nghèo, hộ cận nghèo, quy mô dân số và số đơn vị hành chính đã phản ánh sát thực trạng nghèo của từng địa phương trong tỉnh. Điều này giúp khắc phục tình trạng phân bổ bình quân cào bằng, bảo đảm nguồn lực tập trung vào những địa bàn khó khăn nhất.</w:t>
      </w:r>
    </w:p>
    <w:p>
      <w:pPr>
        <w:widowControl w:val="0"/>
        <w:spacing w:line="276" w:lineRule="auto"/>
        <w:ind w:firstLine="567"/>
        <w:rPr>
          <w:spacing w:val="-4"/>
          <w:szCs w:val="28"/>
          <w:lang w:val="vi-VN"/>
        </w:rPr>
      </w:pPr>
      <w:r>
        <w:rPr>
          <w:spacing w:val="-4"/>
          <w:szCs w:val="28"/>
          <w:lang w:val="vi-VN"/>
        </w:rPr>
        <w:t xml:space="preserve">Tăng cường trách nhiệm và phân cấp: Cơ chế này tạo điều kiện cho địa phương </w:t>
      </w:r>
      <w:r>
        <w:rPr>
          <w:spacing w:val="-4"/>
          <w:szCs w:val="28"/>
          <w:lang w:val="vi-VN"/>
        </w:rPr>
        <w:lastRenderedPageBreak/>
        <w:t>chủ động trong việc xây dựng kế hoạch huy động nguồn lực và phân cấp quản lý đầu tư đến từng cấp ngân sách, từ đó nâng cao trách nhiệm giải trình và thúc đẩy cải cách hành chính.</w:t>
      </w:r>
    </w:p>
    <w:p>
      <w:pPr>
        <w:widowControl w:val="0"/>
        <w:spacing w:line="276" w:lineRule="auto"/>
        <w:ind w:firstLine="567"/>
        <w:rPr>
          <w:spacing w:val="-4"/>
          <w:szCs w:val="28"/>
          <w:lang w:val="vi-VN"/>
        </w:rPr>
      </w:pPr>
      <w:r>
        <w:rPr>
          <w:spacing w:val="-4"/>
          <w:szCs w:val="28"/>
          <w:lang w:val="vi-VN"/>
        </w:rPr>
        <w:t>Thúc đẩy công bằng và minh bạch: Hệ thống nguyên tắc và hệ số phân bổ cho từng dự án thành phần giúp quá trình tổ chức thực hiện trở nên công bằng, dễ kiểm soát và tạo điều kiện thuận lợi cho công tác giám sát của HĐND, Mặt trận Tổ quốc các cấ</w:t>
      </w:r>
      <w:r>
        <w:rPr>
          <w:spacing w:val="-4"/>
          <w:szCs w:val="28"/>
        </w:rPr>
        <w:t>p</w:t>
      </w:r>
      <w:r>
        <w:rPr>
          <w:spacing w:val="-4"/>
          <w:szCs w:val="28"/>
          <w:lang w:val="vi-VN"/>
        </w:rPr>
        <w:t>.</w:t>
      </w:r>
    </w:p>
    <w:p>
      <w:pPr>
        <w:widowControl w:val="0"/>
        <w:spacing w:line="276" w:lineRule="auto"/>
        <w:ind w:firstLine="567"/>
        <w:rPr>
          <w:bCs/>
          <w:i/>
          <w:spacing w:val="-4"/>
          <w:szCs w:val="28"/>
          <w:lang w:val="vi-VN"/>
        </w:rPr>
      </w:pPr>
      <w:r>
        <w:rPr>
          <w:bCs/>
          <w:i/>
          <w:spacing w:val="-4"/>
          <w:szCs w:val="28"/>
          <w:lang w:val="vi-VN"/>
        </w:rPr>
        <w:t>c) Về bất cập, hạn chế</w:t>
      </w:r>
    </w:p>
    <w:p>
      <w:pPr>
        <w:widowControl w:val="0"/>
        <w:spacing w:line="276" w:lineRule="auto"/>
        <w:ind w:firstLine="567"/>
        <w:rPr>
          <w:spacing w:val="-4"/>
          <w:szCs w:val="28"/>
          <w:lang w:val="vi-VN"/>
        </w:rPr>
      </w:pPr>
      <w:r>
        <w:rPr>
          <w:spacing w:val="-4"/>
          <w:szCs w:val="28"/>
          <w:lang w:val="vi-VN"/>
        </w:rPr>
        <w:t>Hệ thống tiêu chí phức tạp: Do Chương trình được thiết kế với nhiều dự án và tiểu dự án thành phần, hệ thống tiêu chí phân bổ trở nên tương đối phức tạp, đòi hỏi nhiều thông tin đầu vào và cơ sở dữ liệu chi tiết để xác định hệ số phân bổ.</w:t>
      </w:r>
    </w:p>
    <w:p>
      <w:pPr>
        <w:widowControl w:val="0"/>
        <w:spacing w:line="276" w:lineRule="auto"/>
        <w:ind w:firstLine="567"/>
        <w:rPr>
          <w:spacing w:val="-4"/>
          <w:szCs w:val="28"/>
          <w:lang w:val="vi-VN"/>
        </w:rPr>
      </w:pPr>
      <w:r>
        <w:rPr>
          <w:spacing w:val="-4"/>
          <w:szCs w:val="28"/>
          <w:lang w:val="vi-VN"/>
        </w:rPr>
        <w:t>Cơ chế điều chỉnh vốn thiếu linh hoạt: Việc quy định cứng mức vốn theo từng dự án thành phần khiến việc điều chuyển nguồn lực giữa các dự án đã hoàn thành mục tiêu hoặc không còn đối tượng thụ hưởng sang các dự án đang có nhu cầu vốn cao gặp nhiều khó khăn, thủ tục hành chính còn rườm rà.</w:t>
      </w:r>
    </w:p>
    <w:p>
      <w:pPr>
        <w:widowControl w:val="0"/>
        <w:spacing w:line="276" w:lineRule="auto"/>
        <w:ind w:firstLine="567"/>
        <w:rPr>
          <w:spacing w:val="-4"/>
          <w:szCs w:val="28"/>
          <w:lang w:val="vi-VN"/>
        </w:rPr>
      </w:pPr>
      <w:r>
        <w:rPr>
          <w:spacing w:val="-4"/>
          <w:szCs w:val="28"/>
          <w:lang w:val="vi-VN"/>
        </w:rPr>
        <w:t xml:space="preserve">Áp lực vốn đối ứng tại địa bàn đặc biệt khó khăn: Quy định tỷ lệ đối ứng hiện nay đôi khi gây áp lực lớn cho các </w:t>
      </w:r>
      <w:r>
        <w:rPr>
          <w:spacing w:val="-4"/>
          <w:szCs w:val="28"/>
        </w:rPr>
        <w:t>địa bàn khó khăn</w:t>
      </w:r>
      <w:r>
        <w:rPr>
          <w:spacing w:val="-4"/>
          <w:szCs w:val="28"/>
          <w:lang w:val="vi-VN"/>
        </w:rPr>
        <w:t>. Tại các địa bàn này, mức hỗ trợ NSTW thường cao, dẫn đến yêu cầu vốn đối ứng tương ứng cũng tăng lên, trong khi nguồn thu ngân sách tại chỗ lại rất hạn chế, không đủ khả năng cân đối.</w:t>
      </w:r>
    </w:p>
    <w:p>
      <w:pPr>
        <w:widowControl w:val="0"/>
        <w:spacing w:line="276" w:lineRule="auto"/>
        <w:ind w:firstLine="567"/>
        <w:rPr>
          <w:spacing w:val="-4"/>
          <w:szCs w:val="28"/>
          <w:lang w:val="vi-VN"/>
        </w:rPr>
      </w:pPr>
      <w:r>
        <w:rPr>
          <w:spacing w:val="-4"/>
          <w:szCs w:val="28"/>
          <w:lang w:val="vi-VN"/>
        </w:rPr>
        <w:t>Chưa gắn với hiệu quả giải ngân: Việc phân bổ vốn hằng năm chủ yếu dựa trên tiêu chí đầu vào, chưa gắn chặt với tỷ lệ giải ngân vốn đầu tư công hoặc kết quả thực hiện kế hoạch của năm trước đó để làm căn cứ điều tiết, khuyến khích các địa phương làm tốt.</w:t>
      </w:r>
    </w:p>
    <w:p>
      <w:pPr>
        <w:widowControl w:val="0"/>
        <w:spacing w:line="276" w:lineRule="auto"/>
        <w:ind w:firstLine="567"/>
        <w:rPr>
          <w:spacing w:val="-4"/>
          <w:szCs w:val="28"/>
          <w:lang w:val="vi-VN"/>
        </w:rPr>
      </w:pPr>
      <w:r>
        <w:rPr>
          <w:spacing w:val="-4"/>
          <w:szCs w:val="28"/>
          <w:lang w:val="vi-VN"/>
        </w:rPr>
        <w:t>Sự rời rạc giữa các chương trình: Việc tồn tại cơ chế phân bổ riêng lẻ đối với từng Chương trình MTQG làm tăng khối lượng công việc hành chính và gây khó khăn cho địa phương trong việc phối hợp, lồng ghép nguồn lực một cách tổng thể trên cùng một địa bàn thụ hưởn</w:t>
      </w:r>
      <w:r>
        <w:rPr>
          <w:spacing w:val="-4"/>
          <w:szCs w:val="28"/>
        </w:rPr>
        <w:t>g</w:t>
      </w:r>
      <w:r>
        <w:rPr>
          <w:spacing w:val="-4"/>
          <w:szCs w:val="28"/>
          <w:lang w:val="vi-VN"/>
        </w:rPr>
        <w:t>.</w:t>
      </w:r>
    </w:p>
    <w:p>
      <w:pPr>
        <w:widowControl w:val="0"/>
        <w:spacing w:line="276" w:lineRule="auto"/>
        <w:ind w:firstLine="567"/>
        <w:rPr>
          <w:b/>
          <w:bCs/>
          <w:i/>
          <w:iCs/>
          <w:spacing w:val="-4"/>
          <w:szCs w:val="28"/>
          <w:lang w:val="da-DK"/>
        </w:rPr>
      </w:pPr>
      <w:r>
        <w:rPr>
          <w:b/>
          <w:bCs/>
          <w:i/>
          <w:iCs/>
          <w:spacing w:val="-4"/>
          <w:szCs w:val="28"/>
          <w:lang w:val="da-DK"/>
        </w:rPr>
        <w:t xml:space="preserve">2.3. Khó khăn, vướng mắc </w:t>
      </w:r>
    </w:p>
    <w:p>
      <w:pPr>
        <w:widowControl w:val="0"/>
        <w:spacing w:line="276" w:lineRule="auto"/>
        <w:ind w:firstLine="567"/>
        <w:rPr>
          <w:i/>
          <w:spacing w:val="-4"/>
          <w:szCs w:val="28"/>
          <w:lang w:val="vi-VN"/>
        </w:rPr>
      </w:pPr>
      <w:r>
        <w:rPr>
          <w:bCs/>
          <w:i/>
          <w:spacing w:val="-4"/>
          <w:szCs w:val="28"/>
          <w:lang w:val="vi-VN"/>
        </w:rPr>
        <w:t>a) Về khó khăn, vướng mắc:</w:t>
      </w:r>
    </w:p>
    <w:p>
      <w:pPr>
        <w:widowControl w:val="0"/>
        <w:spacing w:line="276" w:lineRule="auto"/>
        <w:ind w:firstLine="567"/>
        <w:rPr>
          <w:spacing w:val="-4"/>
          <w:szCs w:val="28"/>
        </w:rPr>
      </w:pPr>
      <w:r>
        <w:rPr>
          <w:spacing w:val="-4"/>
          <w:szCs w:val="28"/>
          <w:lang w:val="vi-VN"/>
        </w:rPr>
        <w:t xml:space="preserve">Việc tổ chức thực hiện </w:t>
      </w:r>
      <w:r>
        <w:rPr>
          <w:spacing w:val="-4"/>
          <w:szCs w:val="28"/>
        </w:rPr>
        <w:t xml:space="preserve">các nội dung của Chương trình </w:t>
      </w:r>
      <w:r>
        <w:rPr>
          <w:spacing w:val="-4"/>
          <w:szCs w:val="28"/>
          <w:lang w:val="vi-VN"/>
        </w:rPr>
        <w:t>trên địa bàn tỉnh Thanh Hóa trong giai đoạn 2021</w:t>
      </w:r>
      <w:r>
        <w:rPr>
          <w:spacing w:val="-4"/>
          <w:szCs w:val="28"/>
        </w:rPr>
        <w:t xml:space="preserve"> - </w:t>
      </w:r>
      <w:r>
        <w:rPr>
          <w:spacing w:val="-4"/>
          <w:szCs w:val="28"/>
          <w:lang w:val="vi-VN"/>
        </w:rPr>
        <w:t xml:space="preserve">2025 diễn ra trong bối cảnh chịu tác động mạnh mẽ từ nhiều yếu tố khách quan như biến động kinh tế vĩ mô, thiên tai, và đặc biệt là sự tăng giá đột biến của các loại nguyên vật liệu xây dựng. Những yếu tố này, kết hợp với các yêu cầu ngày càng siết chặt về kỷ luật tài chính </w:t>
      </w:r>
      <w:r>
        <w:rPr>
          <w:spacing w:val="-4"/>
          <w:szCs w:val="28"/>
        </w:rPr>
        <w:t>-</w:t>
      </w:r>
      <w:r>
        <w:rPr>
          <w:spacing w:val="-4"/>
          <w:szCs w:val="28"/>
          <w:lang w:val="vi-VN"/>
        </w:rPr>
        <w:t xml:space="preserve"> ngân sách theo quy định mới, đã gây áp lực không nhỏ đến tiến độ chuẩn bị hồ sơ dự án, tổ chức thi công và tỷ lệ giải ngân vốn của các địa phương thụ hưởng.</w:t>
      </w:r>
    </w:p>
    <w:p>
      <w:pPr>
        <w:widowControl w:val="0"/>
        <w:spacing w:line="276" w:lineRule="auto"/>
        <w:ind w:firstLine="567"/>
        <w:rPr>
          <w:spacing w:val="-4"/>
          <w:szCs w:val="28"/>
          <w:lang w:val="vi-VN"/>
        </w:rPr>
      </w:pPr>
      <w:r>
        <w:rPr>
          <w:spacing w:val="-4"/>
          <w:szCs w:val="28"/>
          <w:lang w:val="vi-VN"/>
        </w:rPr>
        <w:lastRenderedPageBreak/>
        <w:t>Cơ cấu của Chương trình giảm nghèo bền vững rất phức tạp với hệ thống nhiều dự án, tiểu dự án có nội dung hỗ trợ đa dạng và đối tượng thụ hưởng rộng</w:t>
      </w:r>
      <w:r>
        <w:rPr>
          <w:spacing w:val="-4"/>
          <w:szCs w:val="28"/>
        </w:rPr>
        <w:t xml:space="preserve">; </w:t>
      </w:r>
      <w:r>
        <w:rPr>
          <w:spacing w:val="-4"/>
          <w:szCs w:val="28"/>
          <w:lang w:val="vi-VN"/>
        </w:rPr>
        <w:t>địa bàn triển khai chủ yếu tập trung vào các huyện nghèo</w:t>
      </w:r>
      <w:r>
        <w:rPr>
          <w:spacing w:val="-4"/>
          <w:szCs w:val="28"/>
        </w:rPr>
        <w:t xml:space="preserve"> cũ</w:t>
      </w:r>
      <w:r>
        <w:rPr>
          <w:spacing w:val="-4"/>
          <w:szCs w:val="28"/>
          <w:lang w:val="vi-VN"/>
        </w:rPr>
        <w:t>, xã đặc biệt khó khăn vùng đồng bào dân tộc thiểu số và miền núi, nơi có điều kiện địa hình chia cắt, hạ tầng giao thông còn nhiều hạn chế.</w:t>
      </w:r>
      <w:r>
        <w:rPr>
          <w:spacing w:val="-4"/>
          <w:szCs w:val="28"/>
        </w:rPr>
        <w:t xml:space="preserve"> Đ</w:t>
      </w:r>
      <w:r>
        <w:rPr>
          <w:spacing w:val="-4"/>
          <w:szCs w:val="28"/>
          <w:lang w:val="vi-VN"/>
        </w:rPr>
        <w:t xml:space="preserve">ồng thời năng lực quản lý của cán bộ cấp cơ sở chưa đồng đều đã làm kéo dài thời gian triển khai các </w:t>
      </w:r>
      <w:r>
        <w:rPr>
          <w:spacing w:val="-4"/>
          <w:szCs w:val="28"/>
        </w:rPr>
        <w:t>nội dung hỗ trợ của Chương trình</w:t>
      </w:r>
      <w:r>
        <w:rPr>
          <w:spacing w:val="-4"/>
          <w:szCs w:val="28"/>
          <w:lang w:val="vi-VN"/>
        </w:rPr>
        <w:t>.</w:t>
      </w:r>
    </w:p>
    <w:p>
      <w:pPr>
        <w:widowControl w:val="0"/>
        <w:spacing w:line="276" w:lineRule="auto"/>
        <w:ind w:firstLine="567"/>
        <w:rPr>
          <w:spacing w:val="-4"/>
          <w:szCs w:val="28"/>
          <w:lang w:val="vi-VN"/>
        </w:rPr>
      </w:pPr>
      <w:r>
        <w:rPr>
          <w:spacing w:val="-4"/>
          <w:szCs w:val="28"/>
          <w:lang w:val="vi-VN"/>
        </w:rPr>
        <w:t xml:space="preserve">Một số văn bản hướng dẫn chi tiết từ các Bộ, ngành Trung ương đôi khi ban hành chậm so với thời điểm giao kế hoạch vốn, buộc tỉnh và các huyện </w:t>
      </w:r>
      <w:r>
        <w:rPr>
          <w:spacing w:val="-4"/>
          <w:szCs w:val="28"/>
        </w:rPr>
        <w:t xml:space="preserve">cũ </w:t>
      </w:r>
      <w:r>
        <w:rPr>
          <w:spacing w:val="-4"/>
          <w:szCs w:val="28"/>
          <w:lang w:val="vi-VN"/>
        </w:rPr>
        <w:t>phải thường xuyên rà soát, điều chỉnh kế hoạch thực hiện cho phù hợp với quy định mới. Bên cạnh đó, các quy định về quản lý và sử dụng nguồn vốn sự nghiệp hiện nay còn yêu cầu hệ thống hồ sơ, thủ tục tương đối chặt chẽ và phức tạp, gây khó khăn cho các đơn vị trong việc đẩy nhanh tiến độ giải ngân, đặc biệt là đối với các hoạt động hỗ trợ sinh kế trực tiếp cho hộ nghèo và hộ cận nghèo.</w:t>
      </w:r>
    </w:p>
    <w:p>
      <w:pPr>
        <w:widowControl w:val="0"/>
        <w:spacing w:line="276" w:lineRule="auto"/>
        <w:ind w:firstLine="567"/>
        <w:rPr>
          <w:i/>
          <w:spacing w:val="-4"/>
          <w:szCs w:val="28"/>
          <w:lang w:val="vi-VN"/>
        </w:rPr>
      </w:pPr>
      <w:r>
        <w:rPr>
          <w:bCs/>
          <w:i/>
          <w:spacing w:val="-4"/>
          <w:szCs w:val="28"/>
          <w:lang w:val="vi-VN"/>
        </w:rPr>
        <w:t>b) Về khó khăn, vướng mắc do tổ chức thi hành:</w:t>
      </w:r>
    </w:p>
    <w:p>
      <w:pPr>
        <w:widowControl w:val="0"/>
        <w:spacing w:line="276" w:lineRule="auto"/>
        <w:ind w:firstLine="567"/>
        <w:rPr>
          <w:spacing w:val="-4"/>
          <w:szCs w:val="28"/>
          <w:lang w:val="vi-VN"/>
        </w:rPr>
      </w:pPr>
      <w:r>
        <w:rPr>
          <w:spacing w:val="-4"/>
          <w:szCs w:val="28"/>
          <w:lang w:val="vi-VN"/>
        </w:rPr>
        <w:t xml:space="preserve">Công tác phối hợp giữa các sở, ban, ngành thành viên Ban Chỉ đạo tỉnh và </w:t>
      </w:r>
      <w:r>
        <w:rPr>
          <w:spacing w:val="-4"/>
          <w:szCs w:val="28"/>
        </w:rPr>
        <w:t>địa phương</w:t>
      </w:r>
      <w:r>
        <w:rPr>
          <w:spacing w:val="-4"/>
          <w:szCs w:val="28"/>
          <w:lang w:val="vi-VN"/>
        </w:rPr>
        <w:t xml:space="preserve"> thụ hưởng trong một số giai đoạn chưa thực sự kịp thời và đồng bộ. Việc tổng hợp nhu cầu vốn, xây dựng kế hoạch đầu tư công trung hạn và hằng năm ở một số địa phương còn chậm so với yêu cầu, làm ảnh hưởng đến tiến độ phân bổ và giao vốn tổng thể của toàn tỉnh.</w:t>
      </w:r>
    </w:p>
    <w:p>
      <w:pPr>
        <w:widowControl w:val="0"/>
        <w:spacing w:line="276" w:lineRule="auto"/>
        <w:ind w:firstLine="567"/>
        <w:rPr>
          <w:spacing w:val="-4"/>
          <w:szCs w:val="28"/>
          <w:lang w:val="vi-VN"/>
        </w:rPr>
      </w:pPr>
      <w:r>
        <w:rPr>
          <w:spacing w:val="-4"/>
          <w:szCs w:val="28"/>
          <w:lang w:val="vi-VN"/>
        </w:rPr>
        <w:t>Năng lực lập kế hoạch, quản lý dự án và theo dõi, giám sát ở cấp cơ sở (xã) tại các địa bàn đặc biệt khó khăn còn hạn chế. Việc cập nhật thông tin và báo cáo số liệu trên hệ thống theo dõi chương trình đôi khi chưa được thực hiện thường xuyên và thiếu tính đồng bộ, gây khó khăn cho công tác điều hành, điều chuyển vốn giữa các dự án của UBND tỉnh.</w:t>
      </w:r>
    </w:p>
    <w:p>
      <w:pPr>
        <w:widowControl w:val="0"/>
        <w:spacing w:line="276" w:lineRule="auto"/>
        <w:ind w:firstLine="567"/>
        <w:rPr>
          <w:spacing w:val="-4"/>
          <w:szCs w:val="28"/>
          <w:lang w:val="vi-VN"/>
        </w:rPr>
      </w:pPr>
      <w:r>
        <w:rPr>
          <w:spacing w:val="-4"/>
          <w:szCs w:val="28"/>
          <w:lang w:val="vi-VN"/>
        </w:rPr>
        <w:t>Cơ chế phân bổ vốn theo từng dự án, tiểu dự án thành phần hiện nay tuy đảm bảo tính chuyên biệt cho mục tiêu giảm nghèo nhưng lại làm gia tăng đáng kể khối lượng công việc hành chính cho bộ máy quản lý tại địa phương. Đặc biệt, trong bối cảnh Thanh Hóa triển khai đồng thời 03 Chương trình mục tiêu quốc gia với ba hệ thống tiêu chí và quy trình riêng biệt, việc lồng ghép nguồn lực tích hợp trên cùng một địa bàn còn gặp nhiều lúng túng về quy trình thủ tục.</w:t>
      </w:r>
    </w:p>
    <w:p>
      <w:pPr>
        <w:widowControl w:val="0"/>
        <w:spacing w:line="276" w:lineRule="auto"/>
        <w:ind w:firstLine="567"/>
        <w:rPr>
          <w:spacing w:val="-4"/>
          <w:szCs w:val="28"/>
          <w:lang w:val="vi-VN"/>
        </w:rPr>
      </w:pPr>
      <w:r>
        <w:rPr>
          <w:spacing w:val="-4"/>
          <w:szCs w:val="28"/>
          <w:lang w:val="vi-VN"/>
        </w:rPr>
        <w:t>Việc bố trí vốn đối ứng từ ngân sách địa phương đối với một số huyện nghèo</w:t>
      </w:r>
      <w:r>
        <w:rPr>
          <w:spacing w:val="-4"/>
          <w:szCs w:val="28"/>
        </w:rPr>
        <w:t xml:space="preserve"> cũ </w:t>
      </w:r>
      <w:r>
        <w:rPr>
          <w:spacing w:val="-4"/>
          <w:szCs w:val="28"/>
          <w:lang w:val="vi-VN"/>
        </w:rPr>
        <w:t>của tỉnh vẫn là một thách thức lớn do khả năng tự cân đối ngân sách tại chỗ rất hạn chế. Theo quy định, các địa bàn nghèo được ưu tiên phân bổ vốn Trung ương cao thì mức vốn đối ứng yêu cầu cũng tăng lên tương ứng, dẫn đến áp lực lớn cho ngân sách cấp huyện, xã trong việc huy động các nguồn lực hợp pháp khác để bù đắp phần thiếu hụt.</w:t>
      </w:r>
    </w:p>
    <w:p>
      <w:pPr>
        <w:widowControl w:val="0"/>
        <w:spacing w:line="276" w:lineRule="auto"/>
        <w:ind w:firstLine="567"/>
        <w:rPr>
          <w:spacing w:val="-4"/>
          <w:szCs w:val="28"/>
        </w:rPr>
      </w:pPr>
      <w:r>
        <w:rPr>
          <w:spacing w:val="-4"/>
          <w:szCs w:val="28"/>
          <w:lang w:val="vi-VN"/>
        </w:rPr>
        <w:t xml:space="preserve">Những khó khăn, vướng mắc nêu trên là sự đan xen giữa các yếu tố khách quan </w:t>
      </w:r>
      <w:r>
        <w:rPr>
          <w:spacing w:val="-4"/>
          <w:szCs w:val="28"/>
          <w:lang w:val="vi-VN"/>
        </w:rPr>
        <w:lastRenderedPageBreak/>
        <w:t>về điều kiện tự nhiên và các rào cản chủ quan trong cơ chế điều hành. Đây chính là cơ sở thực tiễn quan trọng để tỉnh Thanh Hóa đề xuất Trung ương hoàn thiện cơ chế phân bổ vốn cho giai đoạn 2026</w:t>
      </w:r>
      <w:r>
        <w:rPr>
          <w:spacing w:val="-4"/>
          <w:szCs w:val="28"/>
        </w:rPr>
        <w:t xml:space="preserve"> - </w:t>
      </w:r>
      <w:r>
        <w:rPr>
          <w:spacing w:val="-4"/>
          <w:szCs w:val="28"/>
          <w:lang w:val="vi-VN"/>
        </w:rPr>
        <w:t>2030 theo hướng tích hợp, đơn giản hóa thủ tục và tăng cường phân cấp mạnh mẽ hơn gắn với trách nhiệm giải trình của chính quyền địa phương</w:t>
      </w:r>
      <w:r>
        <w:rPr>
          <w:spacing w:val="-4"/>
          <w:szCs w:val="28"/>
        </w:rPr>
        <w:t>.</w:t>
      </w:r>
    </w:p>
    <w:p>
      <w:pPr>
        <w:widowControl w:val="0"/>
        <w:spacing w:line="276" w:lineRule="auto"/>
        <w:ind w:firstLine="567"/>
        <w:rPr>
          <w:b/>
          <w:bCs/>
          <w:i/>
          <w:iCs/>
          <w:spacing w:val="-4"/>
          <w:szCs w:val="28"/>
          <w:lang w:val="da-DK"/>
        </w:rPr>
      </w:pPr>
      <w:r>
        <w:rPr>
          <w:b/>
          <w:bCs/>
          <w:i/>
          <w:iCs/>
          <w:spacing w:val="-4"/>
          <w:szCs w:val="28"/>
          <w:lang w:val="da-DK"/>
        </w:rPr>
        <w:t>2.4. Đánh giá chung việc thi hành Nghị quyết</w:t>
      </w:r>
    </w:p>
    <w:p>
      <w:pPr>
        <w:widowControl w:val="0"/>
        <w:spacing w:line="276" w:lineRule="auto"/>
        <w:ind w:firstLine="567"/>
        <w:rPr>
          <w:spacing w:val="-4"/>
          <w:szCs w:val="28"/>
          <w:lang w:val="vi-VN"/>
        </w:rPr>
      </w:pPr>
      <w:r>
        <w:rPr>
          <w:spacing w:val="-4"/>
          <w:szCs w:val="28"/>
          <w:lang w:val="vi-VN"/>
        </w:rPr>
        <w:t xml:space="preserve">Thứ nhất, về vai trò tạo lập khung khổ pháp lý: </w:t>
      </w:r>
      <w:r>
        <w:rPr>
          <w:spacing w:val="-4"/>
          <w:szCs w:val="28"/>
        </w:rPr>
        <w:t xml:space="preserve">Căn cứ các quy định về </w:t>
      </w:r>
      <w:r>
        <w:rPr>
          <w:iCs/>
          <w:spacing w:val="-2"/>
          <w:szCs w:val="28"/>
        </w:rPr>
        <w:t xml:space="preserve">nguyên tắc, tiêu chí, định mức phân bổ vốn tại </w:t>
      </w:r>
      <w:r>
        <w:rPr>
          <w:spacing w:val="-4"/>
          <w:szCs w:val="28"/>
          <w:lang w:val="vi-VN"/>
        </w:rPr>
        <w:t>Quyết định số 02/2022/QĐ-TTg</w:t>
      </w:r>
      <w:r>
        <w:rPr>
          <w:spacing w:val="-4"/>
          <w:szCs w:val="28"/>
        </w:rPr>
        <w:t>, HĐND tỉnh</w:t>
      </w:r>
      <w:r>
        <w:rPr>
          <w:spacing w:val="-4"/>
          <w:szCs w:val="28"/>
          <w:lang w:val="vi-VN"/>
        </w:rPr>
        <w:t xml:space="preserve"> ban hành các nghị quyết cụ thể hóa (như</w:t>
      </w:r>
      <w:r>
        <w:rPr>
          <w:spacing w:val="-4"/>
          <w:szCs w:val="28"/>
        </w:rPr>
        <w:t xml:space="preserve">: </w:t>
      </w:r>
      <w:r>
        <w:rPr>
          <w:iCs/>
          <w:spacing w:val="-2"/>
          <w:szCs w:val="28"/>
        </w:rPr>
        <w:t>Nghị quyết số 257/2022/NQ-HĐND</w:t>
      </w:r>
      <w:r>
        <w:rPr>
          <w:spacing w:val="-4"/>
          <w:szCs w:val="28"/>
        </w:rPr>
        <w:t xml:space="preserve">, </w:t>
      </w:r>
      <w:r>
        <w:rPr>
          <w:spacing w:val="-4"/>
          <w:szCs w:val="28"/>
          <w:lang w:val="vi-VN"/>
        </w:rPr>
        <w:t>Nghị quyết số 33/2025/NQ-HĐND), giúp việc giao kế hoạch vốn hằng năm cho Chương trình giảm nghèo bền vững được thực hiện ổn định, đúng quy định pháp luật về đầu tư công và ngân sách nhà nước.</w:t>
      </w:r>
    </w:p>
    <w:p>
      <w:pPr>
        <w:widowControl w:val="0"/>
        <w:spacing w:line="276" w:lineRule="auto"/>
        <w:ind w:firstLine="567"/>
        <w:rPr>
          <w:spacing w:val="-4"/>
          <w:szCs w:val="28"/>
          <w:lang w:val="vi-VN"/>
        </w:rPr>
      </w:pPr>
      <w:r>
        <w:rPr>
          <w:spacing w:val="-4"/>
          <w:szCs w:val="28"/>
          <w:lang w:val="vi-VN"/>
        </w:rPr>
        <w:t xml:space="preserve">Thứ hai, về tính minh bạch và hiệu quả điều tiết nguồn lực: Hệ thống các tiêu chí và hệ số phân bổ được thiết kế theo hướng định lượng, công khai và minh bạch, gắn chặt với quy mô hộ nghèo, hộ cận nghèo và mức độ khó khăn của từng địa bàn. </w:t>
      </w:r>
      <w:r>
        <w:rPr>
          <w:spacing w:val="-4"/>
          <w:szCs w:val="28"/>
        </w:rPr>
        <w:t>Trên địa bàn tỉnh</w:t>
      </w:r>
      <w:r>
        <w:rPr>
          <w:spacing w:val="-4"/>
          <w:szCs w:val="28"/>
          <w:lang w:val="vi-VN"/>
        </w:rPr>
        <w:t xml:space="preserve">, cơ chế này đã giúp nguồn lực hỗ trợ của Nhà nước tập trung vào đúng các địa bàn trọng điểm như các huyện nghèo </w:t>
      </w:r>
      <w:r>
        <w:rPr>
          <w:spacing w:val="-4"/>
          <w:szCs w:val="28"/>
        </w:rPr>
        <w:t>cũ</w:t>
      </w:r>
      <w:r>
        <w:rPr>
          <w:spacing w:val="-4"/>
          <w:szCs w:val="28"/>
          <w:lang w:val="vi-VN"/>
        </w:rPr>
        <w:t>, các xã đặc biệt khó khăn vùng bãi ngang, ven biển và hải đảo. Việc phân bổ vốn dựa trên cơ sở dữ liệu thực tế đã khắc phục triệt để tình trạng bình quân cào bằng, bảo đảm tính công bằng và nâng cao hiệu quả sử dụng vốn đầu tư trong việc cải thiện đời sống người dân.</w:t>
      </w:r>
    </w:p>
    <w:p>
      <w:pPr>
        <w:widowControl w:val="0"/>
        <w:spacing w:line="276" w:lineRule="auto"/>
        <w:ind w:firstLine="567"/>
        <w:rPr>
          <w:spacing w:val="-4"/>
          <w:szCs w:val="28"/>
          <w:lang w:val="vi-VN"/>
        </w:rPr>
      </w:pPr>
      <w:r>
        <w:rPr>
          <w:spacing w:val="-4"/>
          <w:szCs w:val="28"/>
          <w:lang w:val="vi-VN"/>
        </w:rPr>
        <w:t>Thứ ba, về cơ chế phân định trách nhiệm tài chính: Việc quy định rõ tỷ lệ vốn đối ứng của ngân sách địa phương (tối thiểu bằng 10% tổng vốn NSTW hỗ trợ) đã góp phần quan trọng trong việc phân định trách nhiệm tài chính giữa trung ương và địa phương. Quy định này không chỉ tăng cường kỷ luật ngân sách mà còn nâng cao tính chủ động của chính quyền các cấp trong việc cân đối nguồn lực, lồng ghép vốn tín dụng chính sách và huy động các nguồn lực xã hội hóa để thực hiện mục tiêu an sinh xã hội.</w:t>
      </w:r>
    </w:p>
    <w:p>
      <w:pPr>
        <w:widowControl w:val="0"/>
        <w:spacing w:line="276" w:lineRule="auto"/>
        <w:ind w:firstLine="567"/>
        <w:rPr>
          <w:spacing w:val="-4"/>
          <w:szCs w:val="28"/>
          <w:lang w:val="vi-VN"/>
        </w:rPr>
      </w:pPr>
      <w:r>
        <w:rPr>
          <w:spacing w:val="-4"/>
          <w:szCs w:val="28"/>
          <w:lang w:val="vi-VN"/>
        </w:rPr>
        <w:t>Thứ tư, về những giới hạn cần hoàn thiện cho giai đoạn mới: Mặc dù đạt được nhiều kết quả tích cực, nhưng trong bối cảnh triển khai đồng thời nhiều Chương trình, cơ chế phân bổ riêng lẻ theo từng Quyết định đã bộc lộ những hạn chế nhất định về tính đồng bộ và điều tiết tổng thể nguồn lực trên cùng một địa bàn thụ hưởng. Một số vướng mắc trong tiến độ giải ngân vốn sự nghiệp và áp lực vốn đối ứng tại các</w:t>
      </w:r>
      <w:r>
        <w:rPr>
          <w:spacing w:val="-4"/>
          <w:szCs w:val="28"/>
        </w:rPr>
        <w:t xml:space="preserve"> địa phương </w:t>
      </w:r>
      <w:r>
        <w:rPr>
          <w:spacing w:val="-4"/>
          <w:szCs w:val="28"/>
          <w:lang w:val="vi-VN"/>
        </w:rPr>
        <w:t>cho thấy cần phải đơn giản hóa cấu trúc tiêu chí và tăng cường phân cấp mạnh mẽ hơn nữa gắn với trách nhiệm giải trình của chính quyền cơ sở.</w:t>
      </w:r>
    </w:p>
    <w:p>
      <w:pPr>
        <w:widowControl w:val="0"/>
        <w:spacing w:line="276" w:lineRule="auto"/>
        <w:ind w:firstLine="567"/>
        <w:rPr>
          <w:spacing w:val="-4"/>
          <w:szCs w:val="28"/>
        </w:rPr>
      </w:pPr>
      <w:r>
        <w:rPr>
          <w:spacing w:val="-4"/>
          <w:szCs w:val="28"/>
        </w:rPr>
        <w:t>Tóm lại</w:t>
      </w:r>
      <w:r>
        <w:rPr>
          <w:spacing w:val="-4"/>
          <w:szCs w:val="28"/>
          <w:lang w:val="vi-VN"/>
        </w:rPr>
        <w:t xml:space="preserve">, việc thi hành </w:t>
      </w:r>
      <w:r>
        <w:rPr>
          <w:spacing w:val="-4"/>
          <w:szCs w:val="28"/>
        </w:rPr>
        <w:t xml:space="preserve">các Nghị quyết </w:t>
      </w:r>
      <w:r>
        <w:rPr>
          <w:iCs/>
          <w:spacing w:val="-2"/>
          <w:szCs w:val="28"/>
        </w:rPr>
        <w:t>quy định nguyên tắc, tiêu chí, định mức phân bổ vốn ngân sách trung ương và tỷ lệ vốn đối ứng của ngân sách địa phương thực hiện chương trình mục tiêu quốc gia giảm nghèo bền vững trên địa bàn tỉnh giai đoạn 2021- 2025</w:t>
      </w:r>
      <w:r>
        <w:rPr>
          <w:spacing w:val="-4"/>
          <w:szCs w:val="28"/>
        </w:rPr>
        <w:t xml:space="preserve"> </w:t>
      </w:r>
      <w:r>
        <w:rPr>
          <w:spacing w:val="-4"/>
          <w:szCs w:val="28"/>
          <w:lang w:val="vi-VN"/>
        </w:rPr>
        <w:t xml:space="preserve">đã được tổ chức nghiêm túc, đúng trình tự và đạt được các </w:t>
      </w:r>
      <w:r>
        <w:rPr>
          <w:spacing w:val="-4"/>
          <w:szCs w:val="28"/>
          <w:lang w:val="vi-VN"/>
        </w:rPr>
        <w:lastRenderedPageBreak/>
        <w:t>mục tiêu đề ra cho giai đoạn 2021</w:t>
      </w:r>
      <w:r>
        <w:rPr>
          <w:spacing w:val="-4"/>
          <w:szCs w:val="28"/>
        </w:rPr>
        <w:t xml:space="preserve"> - </w:t>
      </w:r>
      <w:r>
        <w:rPr>
          <w:spacing w:val="-4"/>
          <w:szCs w:val="28"/>
          <w:lang w:val="vi-VN"/>
        </w:rPr>
        <w:t xml:space="preserve">2025. </w:t>
      </w:r>
    </w:p>
    <w:p>
      <w:pPr>
        <w:widowControl w:val="0"/>
        <w:spacing w:line="276" w:lineRule="auto"/>
        <w:ind w:firstLine="567"/>
        <w:rPr>
          <w:b/>
          <w:bCs/>
          <w:spacing w:val="-4"/>
          <w:szCs w:val="28"/>
          <w:lang w:val="da-DK"/>
        </w:rPr>
      </w:pPr>
      <w:r>
        <w:rPr>
          <w:b/>
          <w:bCs/>
          <w:spacing w:val="-4"/>
          <w:szCs w:val="28"/>
          <w:lang w:val="da-DK"/>
        </w:rPr>
        <w:t xml:space="preserve">3. Kết quả thực hiện Quyết định số 39/2021/QĐ-TTg ngày 30/12/2021 của Thủ tướng Chính phủ quy định nguyên tắc, tiêu chí, định mức phân bổ vốn ngân sách trung ương và tỷ lệ vốn đối ứng của ngân sách địa phương thực hiện Chương trình MTQG phát triển kinh tế - xã hội vùng đồng bào DTTS&amp;MN giai đoạn 2021 - 2030, giai đoạn I: từ năm 2021 đến năm 2025 </w:t>
      </w:r>
      <w:r>
        <w:rPr>
          <w:b/>
          <w:bCs/>
          <w:i/>
          <w:iCs/>
          <w:spacing w:val="-4"/>
          <w:szCs w:val="28"/>
          <w:lang w:val="da-DK"/>
        </w:rPr>
        <w:t>(được sửa đổi, bổ sung bởi Quyết định số 18/2023/QĐ-TTg ngày 01/7/2023, Quyết định số 35/2025/QĐ-TTg ngày 25/9/2025 của Thủ tướng Chính phủ)</w:t>
      </w:r>
      <w:r>
        <w:rPr>
          <w:b/>
          <w:bCs/>
          <w:spacing w:val="-4"/>
          <w:szCs w:val="28"/>
          <w:lang w:val="da-DK"/>
        </w:rPr>
        <w:t xml:space="preserve"> </w:t>
      </w:r>
    </w:p>
    <w:p>
      <w:pPr>
        <w:spacing w:line="276" w:lineRule="auto"/>
        <w:ind w:firstLine="567"/>
        <w:rPr>
          <w:b/>
          <w:bCs/>
          <w:spacing w:val="-4"/>
          <w:lang w:val="da-DK"/>
        </w:rPr>
      </w:pPr>
      <w:r>
        <w:rPr>
          <w:b/>
          <w:bCs/>
          <w:i/>
          <w:iCs/>
          <w:spacing w:val="-4"/>
          <w:lang w:val="da-DK"/>
        </w:rPr>
        <w:t>3.1. Công tác chỉ đạo, triển khai và tổ chức thực thi Quyết định số</w:t>
      </w:r>
      <w:r>
        <w:rPr>
          <w:b/>
          <w:bCs/>
          <w:i/>
          <w:iCs/>
          <w:spacing w:val="-4"/>
          <w:lang w:val="da-DK"/>
        </w:rPr>
        <w:br/>
        <w:t>39/2021/QĐ-TTg</w:t>
      </w:r>
    </w:p>
    <w:p>
      <w:pPr>
        <w:spacing w:line="276" w:lineRule="auto"/>
        <w:ind w:firstLine="567"/>
        <w:rPr>
          <w:i/>
          <w:spacing w:val="-4"/>
          <w:lang w:val="vi-VN"/>
        </w:rPr>
      </w:pPr>
      <w:r>
        <w:rPr>
          <w:i/>
          <w:spacing w:val="-4"/>
          <w:lang w:val="vi-VN"/>
        </w:rPr>
        <w:t>a) Ở cấp Trung ương</w:t>
      </w:r>
    </w:p>
    <w:p>
      <w:pPr>
        <w:spacing w:line="276" w:lineRule="auto"/>
        <w:ind w:firstLine="567"/>
        <w:rPr>
          <w:spacing w:val="-4"/>
          <w:lang w:val="vi-VN"/>
        </w:rPr>
      </w:pPr>
      <w:r>
        <w:rPr>
          <w:spacing w:val="-4"/>
          <w:lang w:val="vi-VN"/>
        </w:rPr>
        <w:t>Công tác chỉ đạo và ban hành khung pháp lý ở cấp Trung ương được thực hiện một cách hệ thống, bắt đầu từ việc cụ thể hóa chủ trương của Quốc hội tại Nghị quyết số 120/2020/QH14 về phê duyệt chủ trương đầu tư Chương trình mục tiêu quốc gia (MTQG) phát triển kinh tế - xã hội vùng đồng bào dân tộc thiểu số và miền núi (DTTS&amp;MN). Trên cơ sở đó, Bộ Dân tộc và Tôn giáo (trước đây là Ủy ban Dân tộc) đã tham mưu Thủ tướng Chính phủ ban hành Quyết định số 39/2021/QĐ-TTg ngày 30/12/2021. Đây là văn bản pháp lý nền tảng quy định các nguyên tắc, tiêu chí định lượng và định mức phân bổ vốn cụ thể cho 10 dự án thành phần của Chương trình.</w:t>
      </w:r>
    </w:p>
    <w:p>
      <w:pPr>
        <w:spacing w:line="276" w:lineRule="auto"/>
        <w:ind w:firstLine="567"/>
        <w:rPr>
          <w:spacing w:val="-4"/>
          <w:lang w:val="vi-VN"/>
        </w:rPr>
      </w:pPr>
      <w:r>
        <w:rPr>
          <w:spacing w:val="-4"/>
          <w:lang w:val="vi-VN"/>
        </w:rPr>
        <w:t>Trong quá trình thực thi, nhằm kịp thời tháo gỡ các nút thắt về thủ tục và phù hợp với biến động thực tiễn, Trung ương đã ban hành các văn bản sửa đổi, bổ sung quan trọng như Quyết định số 18/2023/QĐ-TTg và Quyết định số 35/2025/QĐ-TTg. Bộ Dân tộc và Tôn giáo đã chủ trì phối hợp với Bộ Tài chính, Bộ Kế hoạch và Đầu tư tham mưu trình Thủ tướng phê duyệt các quyết định giao kế hoạch vốn trung hạn (Quyết định số 652/QĐ-TTg) và dự toán hằng năm (như Quyết định số 653/QĐ-TTg cho năm 2022). Hằng năm, công tác tổng hợp nhu cầu vốn và dự kiến phương án phân bổ được thực hiện chặt chẽ, bảo đảm vốn ngân sách trung ương (NSTW) được giao đúng đối tượng, ưu tiên các địa bàn có điều kiện khó khăn đặc thù và các nhóm dân tộc rất ít người.</w:t>
      </w:r>
    </w:p>
    <w:p>
      <w:pPr>
        <w:spacing w:line="276" w:lineRule="auto"/>
        <w:ind w:firstLine="567"/>
        <w:rPr>
          <w:i/>
          <w:spacing w:val="-4"/>
          <w:lang w:val="vi-VN"/>
        </w:rPr>
      </w:pPr>
      <w:r>
        <w:rPr>
          <w:i/>
          <w:spacing w:val="-4"/>
          <w:lang w:val="vi-VN"/>
        </w:rPr>
        <w:t>b) Tại tỉnh Thanh Hóa</w:t>
      </w:r>
    </w:p>
    <w:p>
      <w:pPr>
        <w:spacing w:line="276" w:lineRule="auto"/>
        <w:ind w:firstLine="567"/>
        <w:rPr>
          <w:spacing w:val="-4"/>
          <w:lang w:val="vi-VN"/>
        </w:rPr>
      </w:pPr>
      <w:r>
        <w:rPr>
          <w:spacing w:val="-4"/>
          <w:lang w:val="vi-VN"/>
        </w:rPr>
        <w:t>Thanh Hóa là địa bàn có vùng miền núi rộng lớn với nhiều thành phần dân tộc, do đó tỉnh đã xác định việc thực thi Quyết định số 39/2021/QĐ-TTg là nhiệm vụ chính trị trọng tâm để thu hẹp khoảng cách phát triển:</w:t>
      </w:r>
    </w:p>
    <w:p>
      <w:pPr>
        <w:spacing w:line="276" w:lineRule="auto"/>
        <w:ind w:firstLine="567"/>
        <w:rPr>
          <w:spacing w:val="-4"/>
          <w:lang w:val="vi-VN"/>
        </w:rPr>
      </w:pPr>
      <w:r>
        <w:rPr>
          <w:spacing w:val="-4"/>
          <w:lang w:val="vi-VN"/>
        </w:rPr>
        <w:t xml:space="preserve">Về ban hành văn bản pháp lý địa phương: Để cụ thể hóa các quy định của Chính phủ, Hội đồng nhân dân (HĐND) tỉnh Thanh Hóa đã ban hành Nghị quyết số 258/2022/NQ-HĐND ngày 13/7/2022 quy định về nguyên tắc, tiêu chí, định mức phân bổ vốn ngân sách nhà nước thực hiện Chương trình trên địa bàn tỉnh. Nghị </w:t>
      </w:r>
      <w:r>
        <w:rPr>
          <w:spacing w:val="-4"/>
          <w:lang w:val="vi-VN"/>
        </w:rPr>
        <w:lastRenderedPageBreak/>
        <w:t>quyết này đã thiết lập hệ thống hệ số tính điểm chi tiết cho từng dự án, tiểu dự án (như giải quyết tình trạng thiếu đất ở, nhà ở; phát triển sản xuất theo chuỗi giá trị; bảo tồn giá trị văn hóa truyền thống...), bảo đảm tính tương thích tuyệt đối với Quyết định 39 của Thủ tướng nhưng vẫn sát với nhu cầu của các huyện miền núi như Mường Lát, Quan Hóa, Quan Sơn.</w:t>
      </w:r>
    </w:p>
    <w:p>
      <w:pPr>
        <w:spacing w:line="276" w:lineRule="auto"/>
        <w:ind w:firstLine="567"/>
        <w:rPr>
          <w:spacing w:val="-4"/>
          <w:lang w:val="vi-VN"/>
        </w:rPr>
      </w:pPr>
      <w:r>
        <w:rPr>
          <w:spacing w:val="-4"/>
          <w:lang w:val="vi-VN"/>
        </w:rPr>
        <w:t>Về bộ máy điều hành và phân cấp: UBND tỉnh Thanh Hóa đã chỉ đạo Ban Chỉ đạo các Chương trình MTQG các cấp tổ chức thực hiện quyết liệt. Đặc biệt, sau khi sáp nhập các cơ quan chuyên môn thành Sở Nông nghiệp và Môi trường, sự phối hợp giữa quản lý đất đai, bảo vệ rừng và phát triển kinh tế nông lâm nghiệp vùng DTTS đã trở nên đồng bộ hơn. Tỉnh thực hiện phân cấp mạnh mẽ: UBND tỉnh chủ động lựa chọn mục tiêu chiến lược trình HĐND tỉnh giao tổng mức vốn; đồng thời giao quyền cho UBND cấp huyện chủ động lựa chọn danh mục dự án, đối tượng ưu tiên đầu tư tại cơ sở để trình HĐND cùng cấp quyết định. Cơ chế này giúp các địa phương linh hoạt trong việc lồng ghép nguồn lực với các chương trình NTM và giảm nghèo.</w:t>
      </w:r>
    </w:p>
    <w:p>
      <w:pPr>
        <w:spacing w:line="276" w:lineRule="auto"/>
        <w:ind w:firstLine="567"/>
        <w:rPr>
          <w:spacing w:val="-4"/>
          <w:lang w:val="vi-VN"/>
        </w:rPr>
      </w:pPr>
      <w:r>
        <w:rPr>
          <w:spacing w:val="-4"/>
          <w:lang w:val="vi-VN"/>
        </w:rPr>
        <w:t>Về bố trí nguồn lực đối ứng: Tuân thủ nghiêm túc quy định tại Quyết định 39, tỉnh Thanh Hóa cam kết và thực hiện bố trí vốn đối ứng từ ngân sách địa phương (NSĐP) tối thiểu bằng 10% tổng vốn NSTW hỗ trợ để triển khai Chương trình. Việc xác định lộ trình cân đối ngân sách tỉnh và huyện giúp các dự án hạ tầng thiết yếu tại các thôn, bản đặc biệt khó khăn được triển khai dứt điểm, không để xảy ra nợ đọng xây dựng cơ bản.</w:t>
      </w:r>
    </w:p>
    <w:p>
      <w:pPr>
        <w:spacing w:line="276" w:lineRule="auto"/>
        <w:ind w:firstLine="567"/>
        <w:rPr>
          <w:spacing w:val="-4"/>
          <w:lang w:val="vi-VN"/>
        </w:rPr>
      </w:pPr>
      <w:r>
        <w:rPr>
          <w:spacing w:val="-4"/>
          <w:lang w:val="vi-VN"/>
        </w:rPr>
        <w:t>Về công tác giám sát, kiểm tra: UBND tỉnh thường xuyên tổ chức các đoàn kiểm tra liên ngành, giám sát việc sử dụng nguồn vốn tại các xã biên giới, xã an toàn khu. Hệ thống báo cáo được duy trì định kỳ nhằm kịp thời phát hiện những vướng mắc về lĩnh vực chi vốn sự nghiệp để đề xuất điều chỉnh phù hợp với nhu cầu thực tế của đồng bào DTTS.</w:t>
      </w:r>
    </w:p>
    <w:p>
      <w:pPr>
        <w:spacing w:line="276" w:lineRule="auto"/>
        <w:ind w:firstLine="567"/>
        <w:rPr>
          <w:spacing w:val="-4"/>
        </w:rPr>
      </w:pPr>
      <w:r>
        <w:rPr>
          <w:spacing w:val="-4"/>
          <w:lang w:val="vi-VN"/>
        </w:rPr>
        <w:t>Nhìn chung, công tác chỉ đạo tại Thanh Hóa đã bảo đảm được nguyên tắc quản lý tập trung, thống nhất về mục tiêu của Trung ương nhưng vẫn phát huy tối đa tính chủ động, linh hoạt của chính quyền cơ sở, tạo tiền đề quan trọng cho việc hoàn thành các tiêu chí phát triển kinh tế - xã hội vùng đồng bào DTTS&amp;MN giai đoạn I.</w:t>
      </w:r>
    </w:p>
    <w:p>
      <w:pPr>
        <w:widowControl w:val="0"/>
        <w:spacing w:line="276" w:lineRule="auto"/>
        <w:ind w:firstLine="567"/>
        <w:rPr>
          <w:rFonts w:ascii="TimesNewRomanPS-BoldMT" w:hAnsi="TimesNewRomanPS-BoldMT"/>
          <w:b/>
          <w:bCs/>
          <w:spacing w:val="-4"/>
          <w:szCs w:val="28"/>
          <w:lang w:val="da-DK"/>
        </w:rPr>
      </w:pPr>
      <w:r>
        <w:rPr>
          <w:b/>
          <w:bCs/>
          <w:i/>
          <w:iCs/>
          <w:spacing w:val="-4"/>
          <w:szCs w:val="28"/>
          <w:lang w:val="da-DK"/>
        </w:rPr>
        <w:t xml:space="preserve">2.2. </w:t>
      </w:r>
      <w:r>
        <w:rPr>
          <w:rFonts w:ascii="TimesNewRomanPS-BoldMT" w:hAnsi="TimesNewRomanPS-BoldMT"/>
          <w:b/>
          <w:bCs/>
          <w:spacing w:val="-4"/>
          <w:szCs w:val="28"/>
          <w:lang w:val="da-DK"/>
        </w:rPr>
        <w:t>Kết quả phân bổ vốn NSTW và bố trí đối ứng của NSĐP thực hiện</w:t>
      </w:r>
      <w:r>
        <w:rPr>
          <w:rFonts w:ascii="TimesNewRomanPS-BoldMT" w:hAnsi="TimesNewRomanPS-BoldMT"/>
          <w:b/>
          <w:bCs/>
          <w:spacing w:val="-4"/>
          <w:szCs w:val="28"/>
          <w:lang w:val="da-DK"/>
        </w:rPr>
        <w:br/>
        <w:t>Chương trình MTQG phát triển kinh tế - xã hội vùng đồng bào DTTS&amp;MN</w:t>
      </w:r>
      <w:r>
        <w:rPr>
          <w:rFonts w:ascii="TimesNewRomanPS-BoldMT" w:hAnsi="TimesNewRomanPS-BoldMT"/>
          <w:b/>
          <w:bCs/>
          <w:spacing w:val="-4"/>
          <w:szCs w:val="28"/>
          <w:lang w:val="da-DK"/>
        </w:rPr>
        <w:br/>
        <w:t>giai đoạn 2021 - 2030, giai đoạn I: từ năm 2021 đến năm 2025 theo các quy</w:t>
      </w:r>
      <w:r>
        <w:rPr>
          <w:rFonts w:ascii="TimesNewRomanPS-BoldMT" w:hAnsi="TimesNewRomanPS-BoldMT"/>
          <w:b/>
          <w:bCs/>
          <w:spacing w:val="-4"/>
          <w:szCs w:val="28"/>
          <w:lang w:val="da-DK"/>
        </w:rPr>
        <w:br/>
        <w:t>định tại Quyết định số 39/2021/QĐ-TTg</w:t>
      </w:r>
    </w:p>
    <w:p>
      <w:pPr>
        <w:widowControl w:val="0"/>
        <w:spacing w:line="276" w:lineRule="auto"/>
        <w:ind w:firstLine="567"/>
        <w:rPr>
          <w:rFonts w:ascii="TimesNewRomanPSMT" w:hAnsi="TimesNewRomanPSMT"/>
          <w:i/>
          <w:spacing w:val="-4"/>
          <w:szCs w:val="28"/>
          <w:lang w:val="vi-VN"/>
        </w:rPr>
      </w:pPr>
      <w:r>
        <w:rPr>
          <w:rFonts w:ascii="TimesNewRomanPSMT" w:hAnsi="TimesNewRomanPSMT"/>
          <w:i/>
          <w:spacing w:val="-4"/>
          <w:szCs w:val="28"/>
          <w:lang w:val="vi-VN"/>
        </w:rPr>
        <w:t>a) Về nguyên tắc và cơ chế phân bổ vốn tại tỉnh Thanh Hóa</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 xml:space="preserve">Trên cơ sở các quy định tại Quyết định số 39/2021/QĐ-TTg, tỉnh Thanh Hóa đã cụ thể hóa việc phân bổ vốn thông qua Nghị quyết số 258/2022/NQ-HĐND, bảo </w:t>
      </w:r>
      <w:r>
        <w:rPr>
          <w:rFonts w:ascii="TimesNewRomanPSMT" w:hAnsi="TimesNewRomanPSMT"/>
          <w:spacing w:val="-4"/>
          <w:szCs w:val="28"/>
          <w:lang w:val="vi-VN"/>
        </w:rPr>
        <w:lastRenderedPageBreak/>
        <w:t>đảm tính minh bạch, định lượng và bám sát thực tiễn vùng miền núi của tỉnh. Việc phân bổ vốn ngân sách nhà nước (bao gồm cả vốn đầu tư và vốn sự nghiệp) được thực hiện dựa trên hệ thống tiêu chí, định mức và phương pháp tính điểm chi tiết cho từng dự án, tiểu dự án thành phần nhằm giải quyết các vấn đề bức xúc, cấp bách nhất của đồng bào dân tộc thiểu số.</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Nguồn vốn được ưu tiên tập trung cho các nhiệm vụ trọng tâm: giải quyết tình trạng thiếu đất ở, nhà ở, đất sản xuất, nước sinh hoạt; quy hoạch, sắp xếp, bố trí, ổn định dân cư; và đầu tư cơ sở hạ tầng thiết yếu phục vụ sản xuất và đời sống. Thanh Hóa thực hiện nguyên tắc phân bổ vốn đầu tư tập trung, không phân tán, dàn trải, bảo đảm hiệu quả sử dụng vốn và tạo sự chuyển biến rõ rệt về hạ tầng kinh tế - xã hội tại các xã, thôn, bản đặc biệt khó khăn.</w:t>
      </w:r>
    </w:p>
    <w:p>
      <w:pPr>
        <w:widowControl w:val="0"/>
        <w:spacing w:line="276" w:lineRule="auto"/>
        <w:ind w:firstLine="567"/>
        <w:rPr>
          <w:rFonts w:ascii="TimesNewRomanPSMT" w:hAnsi="TimesNewRomanPSMT"/>
          <w:i/>
          <w:spacing w:val="-4"/>
          <w:szCs w:val="28"/>
          <w:lang w:val="vi-VN"/>
        </w:rPr>
      </w:pPr>
      <w:r>
        <w:rPr>
          <w:rFonts w:ascii="TimesNewRomanPSMT" w:hAnsi="TimesNewRomanPSMT"/>
          <w:i/>
          <w:spacing w:val="-4"/>
          <w:szCs w:val="28"/>
          <w:lang w:val="vi-VN"/>
        </w:rPr>
        <w:t>b) Kết quả phân bổ vốn ngân sách trung ương (NSTW)</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Việc phân bổ và giao kế hoạch vốn NSTW giai đoạn 2021–2025 cho tỉnh Thanh Hóa được thực hiện đúng quy định và hướng dẫn của Trung ương. Cơ chế phân bổ theo Quyết định số 39/2021/QĐ-TTg đã tạo căn cứ pháp lý để Thủ tướng Chính phủ giao kế hoạch vốn đầu tư phát triển trung hạn và dự toán hằng năm cho tỉnh triển khai 10 dự án và 14 tiểu dự án thành phần.</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Mặc dù quy mô nguồn vốn NSTW hỗ trợ cho chương trình này trên toàn quốc là rất lớn (đạt 86.708.980 triệu đồng), tại Thanh Hóa, nguồn vốn này đóng vai trò quyết định trong việc tích hợp hơn 100 chính sách dân tộc trước đây vào một chương trình thống nhất. Công tác phân bổ đã bám sát đối tượng thụ hưởng, ưu tiên tính điểm cao cho các xã đặc biệt khó khăn (xã khu vực III), các xã biên giới và các nhóm dân tộc thiểu số còn gặp nhiều khó khăn, khó khăn đặc thù.</w:t>
      </w:r>
    </w:p>
    <w:p>
      <w:pPr>
        <w:widowControl w:val="0"/>
        <w:spacing w:line="276" w:lineRule="auto"/>
        <w:ind w:firstLine="567"/>
        <w:rPr>
          <w:rFonts w:ascii="TimesNewRomanPSMT" w:hAnsi="TimesNewRomanPSMT"/>
          <w:i/>
          <w:spacing w:val="-4"/>
          <w:szCs w:val="28"/>
          <w:lang w:val="vi-VN"/>
        </w:rPr>
      </w:pPr>
      <w:r>
        <w:rPr>
          <w:rFonts w:ascii="TimesNewRomanPSMT" w:hAnsi="TimesNewRomanPSMT"/>
          <w:i/>
          <w:spacing w:val="-4"/>
          <w:szCs w:val="28"/>
          <w:lang w:val="vi-VN"/>
        </w:rPr>
        <w:t>c) Kết quả bố trí vốn đối ứng của ngân sách địa phương (NSĐP)</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Thực hiện quy định tại Quyết định số 39/2021/QĐ-TTg, tỉnh Thanh Hóa đã ban hành quy định bắt buộc về tỷ lệ đối ứng của ngân sách địa phương. Cụ thể:</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Ngân sách tỉnh: Bảo đảm bố trí đủ vốn đối ứng tối thiểu bằng 10% tổng vốn ngân sách trung ương hỗ trợ thực hiện Chương trình trên địa bàn tỉnh.</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Ngân sách cấp huyện: Các huyện chủ động xây dựng phương án phân bổ và bố trí thêm nguồn lực từ ngân sách cấp mình để thực hiện các tiêu chí, nhiệm vụ được giao, phù hợp với năng lực cân đối thực tế của địa phương.</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Việc quy định rõ tỷ lệ đối ứng không chỉ đề cao trách nhiệm của chính quyền địa phương mà còn giúp tỉnh Thanh Hóa xác định lộ trình cân đối ngân sách một cách chủ động, tránh tình trạng đầu tư dở dang hoặc nợ đọng xây dựng cơ bản. Bên cạnh NSĐP, tỉnh cũng triển khai cơ chế lồng ghép nguồn vốn từ các Chương trình MTQG khác và các nguồn vốn hợp pháp để tăng cường hiệu quả đầu tư trên cùng một địa bàn thụ hưởng.</w:t>
      </w:r>
    </w:p>
    <w:p>
      <w:pPr>
        <w:widowControl w:val="0"/>
        <w:spacing w:line="276" w:lineRule="auto"/>
        <w:ind w:firstLine="567"/>
        <w:rPr>
          <w:rFonts w:ascii="TimesNewRomanPSMT" w:hAnsi="TimesNewRomanPSMT"/>
          <w:i/>
          <w:spacing w:val="-4"/>
          <w:szCs w:val="28"/>
          <w:lang w:val="vi-VN"/>
        </w:rPr>
      </w:pPr>
      <w:r>
        <w:rPr>
          <w:rFonts w:ascii="TimesNewRomanPSMT" w:hAnsi="TimesNewRomanPSMT"/>
          <w:i/>
          <w:spacing w:val="-4"/>
          <w:szCs w:val="28"/>
          <w:lang w:val="vi-VN"/>
        </w:rPr>
        <w:lastRenderedPageBreak/>
        <w:t>d) Phân cấp và quản lý tổ chức thực hiện</w:t>
      </w:r>
    </w:p>
    <w:p>
      <w:pPr>
        <w:widowControl w:val="0"/>
        <w:spacing w:line="276" w:lineRule="auto"/>
        <w:ind w:firstLine="567"/>
        <w:rPr>
          <w:rFonts w:ascii="TimesNewRomanPSMT" w:hAnsi="TimesNewRomanPSMT"/>
          <w:spacing w:val="-4"/>
          <w:szCs w:val="28"/>
          <w:lang w:val="vi-VN"/>
        </w:rPr>
      </w:pPr>
      <w:r>
        <w:rPr>
          <w:rFonts w:ascii="TimesNewRomanPSMT" w:hAnsi="TimesNewRomanPSMT"/>
          <w:spacing w:val="-4"/>
          <w:szCs w:val="28"/>
          <w:lang w:val="vi-VN"/>
        </w:rPr>
        <w:t>Tỉnh Thanh Hóa đã thực hiện phân cấp mạnh mẽ trong việc quản lý và điều hành vốn. Ủy ban nhân dân tỉnh chủ động lựa chọn mục tiêu, nhiệm vụ chiến lược để trình HĐND tỉnh quyết định phương án phân bổ vốn 5 năm và hằng năm. Đồng thời, UBND cấp huyện được giao quyền chủ động lựa chọn danh mục dự án cụ thể và đối tượng ưu tiên đầu tư tại cơ sở, đảm bảo vốn được sử dụng sát với nhu cầu bức thiết của người dân vùng đồng bào DTTS&amp;MN. Công tác quản lý, thanh tra và giám sát việc sử dụng nguồn vốn được thực hiện định kỳ nhằm bảo đảm kỷ luật tài chính và hiệu quả đầu tư công theo quy định của pháp luật.</w:t>
      </w:r>
    </w:p>
    <w:p>
      <w:pPr>
        <w:widowControl w:val="0"/>
        <w:spacing w:line="276" w:lineRule="auto"/>
        <w:ind w:firstLine="567"/>
        <w:rPr>
          <w:b/>
          <w:bCs/>
          <w:spacing w:val="-4"/>
          <w:szCs w:val="28"/>
          <w:lang w:val="da-DK"/>
        </w:rPr>
      </w:pPr>
      <w:r>
        <w:rPr>
          <w:b/>
          <w:bCs/>
          <w:i/>
          <w:iCs/>
          <w:spacing w:val="-4"/>
          <w:szCs w:val="28"/>
          <w:lang w:val="da-DK"/>
        </w:rPr>
        <w:t>2.4. Đánh giá chung việc thi hành Quyết định</w:t>
      </w:r>
    </w:p>
    <w:p>
      <w:pPr>
        <w:widowControl w:val="0"/>
        <w:spacing w:line="276" w:lineRule="auto"/>
        <w:ind w:firstLine="567"/>
        <w:rPr>
          <w:rFonts w:ascii="TimesNewRomanPS-BoldMT" w:hAnsi="TimesNewRomanPS-BoldMT"/>
          <w:i/>
          <w:spacing w:val="-4"/>
          <w:szCs w:val="28"/>
          <w:lang w:val="vi-VN"/>
        </w:rPr>
      </w:pPr>
      <w:r>
        <w:rPr>
          <w:rFonts w:ascii="TimesNewRomanPS-BoldMT" w:hAnsi="TimesNewRomanPS-BoldMT"/>
          <w:i/>
          <w:spacing w:val="-4"/>
          <w:szCs w:val="28"/>
          <w:lang w:val="vi-VN"/>
        </w:rPr>
        <w:t>a) Mặt được</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Về tạo lập cơ chế chính sách: Quyết định số 39/2021/QĐ-TTg đã tạo ra một khung pháp lý mang tính chất tổng thể và tích hợp mạnh mẽ nhất từ trước đến nay cho vùng đồng bào dân tộc thiểu số và miền núi (DTTS&amp;MN). Tại Thanh Hóa, Chương trình đã giúp tích hợp hơn 100 chính sách dân tộc rời rạc trước đây vào 10 dự án và 14 tiểu dự án thành phần, giúp công tác quản lý vốn tập trung và thống nhất hơn. Việc quy định cụ thể nguồn vốn cho từng dự án là cơ sở quan trọng để Hội đồng nhân dân tỉnh ban hành Nghị quyết số 258/2022/NQ-HĐND, bảo đảm định mức phân bổ sát với nhu cầu thực tế của các huyện miền núi.</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Về hiệu quả phân bổ và sử dụng vốn: Tiêu chí phân bổ vốn được quy định cụ thể, có trọng tâm, trọng điểm, ưu tiên tính điểm cao cho các địa bàn khó khăn nhất như xã khu vực III, các thôn bản đặc biệt khó khăn và các nhóm dân tộc thiểu số còn gặp nhiều khó khăn đặc thù. Cơ chế phân bổ theo Quyết định 39 đã giúp tỉnh Thanh Hóa khắc phục tình trạng đầu tư dàn trải, bảo đảm vốn đầu tư phát triển tập trung vào hạ tầng thiết yếu như đường giao thông nông thôn, trạm y tế, trường học và hỗ trợ đất ở, nhà ở.</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Về trách nhiệm địa phương và cơ chế đặc thù: Việc quy định tỷ lệ đối ứng từ ngân sách địa phương (tối thiểu 10%) đã nâng cao trách nhiệm của chính quyền các cấp trong tỉnh trong việc lập kế hoạch và lộ trình cân đối ngân sách. Đặc biệt, việc triển khai các cơ chế chính sách đặc thù theo Nghị quyết số 111/2024/QH15 của Quốc hội đã tạo điều kiện cho các huyện như Mường Lát, Quan Sơn chủ động điều chỉnh kế hoạch vốn hằng năm, đáp ứng kịp thời các yêu cầu cấp bách tại cơ sở.</w:t>
      </w:r>
    </w:p>
    <w:p>
      <w:pPr>
        <w:widowControl w:val="0"/>
        <w:spacing w:line="276" w:lineRule="auto"/>
        <w:ind w:firstLine="567"/>
        <w:rPr>
          <w:rFonts w:ascii="TimesNewRomanPS-BoldMT" w:hAnsi="TimesNewRomanPS-BoldMT"/>
          <w:i/>
          <w:spacing w:val="-4"/>
          <w:szCs w:val="28"/>
          <w:lang w:val="vi-VN"/>
        </w:rPr>
      </w:pPr>
      <w:r>
        <w:rPr>
          <w:rFonts w:ascii="TimesNewRomanPS-BoldMT" w:hAnsi="TimesNewRomanPS-BoldMT"/>
          <w:i/>
          <w:spacing w:val="-4"/>
          <w:szCs w:val="28"/>
          <w:lang w:val="vi-VN"/>
        </w:rPr>
        <w:t>b) Khó khăn, vướng mắc và nguyên nhân</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 xml:space="preserve">Khó khăn trong quản lý vốn sự nghiệp: Phần lớn các nội dung chi vốn sự nghiệp của Chương trình là các chính sách hỗ trợ trực tiếp cho con người, dẫn đến việc xác định chính xác nội dung theo từng lĩnh vực chi cho các dự án, tiểu dự án gặp nhiều khó khăn. Tại một số địa bàn, địa phương kiến nghị việc giao dự toán quá chi tiết </w:t>
      </w:r>
      <w:r>
        <w:rPr>
          <w:rFonts w:ascii="TimesNewRomanPS-BoldMT" w:hAnsi="TimesNewRomanPS-BoldMT"/>
          <w:spacing w:val="-4"/>
          <w:szCs w:val="28"/>
          <w:lang w:val="vi-VN"/>
        </w:rPr>
        <w:lastRenderedPageBreak/>
        <w:t>theo lĩnh vực chi dẫn đến tình trạng không thực hiện được hoặc phải xin điều chuyển lĩnh vực chi cho phù hợp với nhu cầu thực tế của đồng bào, làm chậm tiến độ giải ngân.</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Thách thức về đối tượng thụ hưởng: Do kết quả thực hiện công tác giảm nghèo tại Thanh Hóa đạt tốc độ nhanh, dẫn đến xu hướng thu hẹp đối tượng thụ hưởng (tỷ lệ hộ nghèo giảm) so với thời điểm phê duyệt kế hoạch đầu giai đoạn. Điều này khiến khả năng hấp thụ và giải ngân số vốn sự nghiệp đã giao theo định mức ban đầu trở thành một thách thức lớn đối với tỉnh.</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Thiếu nguồn vốn dự phòng: Toàn bộ nguồn vốn đầu tư phát triển thực hiện Chương trình giai đoạn 2021–2025 đã được phân bổ và thông báo hết cho các địa phương ngay từ đầu giai đoạn. Do đó, tỉnh không có nguồn dự phòng để bố trí cho các nhiệm vụ đột xuất phát sinh do thiên tai, sạt lở hoặc các nhiệm vụ chỉ đạo điểm phát sinh trong quá trình triển khai Chương trình.</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Vấn đề cấu trúc quản lý: Việc triển khai đồng thời 03 Chương trình mục tiêu quốc gia với ba hệ thống tiêu chí và cơ chế phân bổ riêng biệt đã gia tăng khối lượng công việc hành chính và chi phí điều phối. Đặc biệt, trong bối cảnh Thanh Hóa thực hiện sáp nhập các cơ quan chuyên môn thành Sở Nông nghiệp và Môi trường, yêu cầu về một cơ chế quản lý vốn tích hợp, thống nhất để phù hợp với mô hình chính quyền 02 cấp từ năm 2025 đang trở nên hết sức cấp thiết.</w:t>
      </w:r>
    </w:p>
    <w:p>
      <w:pPr>
        <w:widowControl w:val="0"/>
        <w:spacing w:line="276" w:lineRule="auto"/>
        <w:ind w:firstLine="567"/>
        <w:rPr>
          <w:rFonts w:ascii="TimesNewRomanPS-BoldMT" w:hAnsi="TimesNewRomanPS-BoldMT"/>
          <w:spacing w:val="-4"/>
          <w:szCs w:val="28"/>
          <w:lang w:val="vi-VN"/>
        </w:rPr>
      </w:pPr>
      <w:r>
        <w:rPr>
          <w:rFonts w:ascii="TimesNewRomanPS-BoldMT" w:hAnsi="TimesNewRomanPS-BoldMT"/>
          <w:spacing w:val="-4"/>
          <w:szCs w:val="28"/>
          <w:lang w:val="vi-VN"/>
        </w:rPr>
        <w:t>Tổng thể, việc thi hành Quyết định số 39/2021/QĐ-TTg tại Thanh Hóa đã đạt được những mục tiêu cốt lõi về hạ tầng và an sinh, tuy nhiên các hạn chế về tính linh hoạt của vốn sự nghiệp và sự chồng chéo giữa các chương trình là những bài học kinh nghiệm quan trọng để Trung ương hoàn thiện cơ chế phân bổ vốn tích hợp cho giai đoạn 2026–2030</w:t>
      </w:r>
    </w:p>
    <w:p>
      <w:pPr>
        <w:widowControl w:val="0"/>
        <w:spacing w:line="276" w:lineRule="auto"/>
        <w:ind w:firstLine="567"/>
        <w:rPr>
          <w:rFonts w:ascii="TimesNewRomanPSMT" w:hAnsi="TimesNewRomanPSMT"/>
          <w:b/>
          <w:bCs/>
          <w:spacing w:val="-4"/>
          <w:szCs w:val="28"/>
          <w:lang w:val="da-DK"/>
        </w:rPr>
      </w:pPr>
      <w:r>
        <w:rPr>
          <w:rFonts w:ascii="TimesNewRomanPSMT" w:hAnsi="TimesNewRomanPSMT"/>
          <w:b/>
          <w:bCs/>
          <w:spacing w:val="-4"/>
          <w:szCs w:val="28"/>
          <w:lang w:val="da-DK"/>
        </w:rPr>
        <w:t>4. Những vấn đề mới, phát sinh trong thực tiễn</w:t>
      </w:r>
    </w:p>
    <w:p>
      <w:pPr>
        <w:spacing w:line="276" w:lineRule="auto"/>
        <w:ind w:firstLine="567"/>
        <w:rPr>
          <w:spacing w:val="-4"/>
          <w:szCs w:val="28"/>
          <w:lang w:val="vi-VN"/>
        </w:rPr>
      </w:pPr>
      <w:r>
        <w:rPr>
          <w:spacing w:val="-4"/>
          <w:szCs w:val="28"/>
          <w:lang w:val="vi-VN"/>
        </w:rPr>
        <w:t>Qua tổng kết thực tiễn việc thi hành các Quyết định số 07/2022/QĐ-TTg, số 02/2022/QĐ-TTg và số 39/2021/QĐ-TTg của Thủ tướng Chính phủ trên địa bàn tỉnh Thanh Hóa giai đoạn 2021–2025, bên cạnh những kết quả tích cực, đã xuất hiện một số vấn đề mới mang tính cấu trúc, đòi hỏi phải có sự thay đổi căn bản trong cơ chế phân bổ vốn cho giai đoạn tiếp theo. Các vấn đề cụ thể bao gồm:</w:t>
      </w:r>
    </w:p>
    <w:p>
      <w:pPr>
        <w:spacing w:line="276" w:lineRule="auto"/>
        <w:ind w:firstLine="567"/>
        <w:rPr>
          <w:spacing w:val="-4"/>
          <w:szCs w:val="28"/>
          <w:lang w:val="vi-VN"/>
        </w:rPr>
      </w:pPr>
      <w:r>
        <w:rPr>
          <w:spacing w:val="-4"/>
          <w:szCs w:val="28"/>
          <w:lang w:val="vi-VN"/>
        </w:rPr>
        <w:t xml:space="preserve">Thứ nhất, yêu cầu tích hợp các Chương trình mục tiêu quốc gia (MTQG) thành một Chương trình thống nhất: Theo Nghị quyết số 257/2025/QH15 của Quốc hội, việc tích hợp 03 Chương trình MTQG đặt ra yêu cầu cấp thiết phải thiết kế lại cơ chế phân bổ vốn. Thực tế tại Thanh Hóa cho thấy, mô hình phân bổ riêng lẻ theo từng chương trình như giai đoạn 2021–2025 không còn phù hợp với mục tiêu quản lý tích hợp và thống nhất. Việc tích hợp sẽ giúp điều tiết tổng thể nguồn lực, tránh tình trạng </w:t>
      </w:r>
      <w:r>
        <w:rPr>
          <w:spacing w:val="-4"/>
          <w:szCs w:val="28"/>
          <w:lang w:val="vi-VN"/>
        </w:rPr>
        <w:lastRenderedPageBreak/>
        <w:t>chồng chéo tiêu chí và bảo đảm vốn được tập trung trọng điểm trên cùng một địa bàn thụ hưởng thay vì bị phân tán như trước đây.</w:t>
      </w:r>
    </w:p>
    <w:p>
      <w:pPr>
        <w:spacing w:line="276" w:lineRule="auto"/>
        <w:ind w:firstLine="567"/>
        <w:rPr>
          <w:spacing w:val="-4"/>
          <w:szCs w:val="28"/>
          <w:lang w:val="vi-VN"/>
        </w:rPr>
      </w:pPr>
      <w:r>
        <w:rPr>
          <w:spacing w:val="-4"/>
          <w:szCs w:val="28"/>
          <w:lang w:val="vi-VN"/>
        </w:rPr>
        <w:t>Thứ hai, thay đổi phương thức quản lý theo mô hình chính quyền địa phương mới: Việc tổ chức chính quyền địa phương theo mô hình hai cấp (cấp tỉnh và cấp xã) từ năm 2025 làm thay đổi căn bản phương thức quản lý, phân bổ và sử dụng nguồn lực tại cơ sở. Điều này đòi hỏi cơ chế phân bổ vốn giai đoạn 2026–2030 phải được thiết kế đơn giản, dễ áp dụng và giảm bớt các tầng nấc trung gian. Đồng thời, cần tăng cường quyền chủ động cho cấp tỉnh và cấp xã trong việc điều hành vốn, nhưng vẫn phải bảo đảm quản lý thống nhất về nguyên tắc và tổng mức vốn ở cấp Trung ương.</w:t>
      </w:r>
    </w:p>
    <w:p>
      <w:pPr>
        <w:spacing w:line="276" w:lineRule="auto"/>
        <w:ind w:firstLine="567"/>
        <w:rPr>
          <w:spacing w:val="-4"/>
          <w:szCs w:val="28"/>
          <w:lang w:val="vi-VN"/>
        </w:rPr>
      </w:pPr>
      <w:r>
        <w:rPr>
          <w:spacing w:val="-4"/>
          <w:szCs w:val="28"/>
          <w:lang w:val="vi-VN"/>
        </w:rPr>
        <w:t>Thứ ba, siết chặt kỷ luật, kỷ cương tài chính và nâng cao hiệu quả đầu tư công: Yêu cầu về tăng cường kỷ cương ngân sách và hiệu quả sử dụng vốn ngày càng rõ nét trong bối cảnh mới. Thực tiễn cho thấy cơ chế phân bổ cần phải gắn chặt hơn với tiến độ thực hiện và kết quả giải ngân thực tế của các địa phương. Việc này nhằm hạn chế tình trạng vốn chậm phân bổ hoặc phải điều chỉnh kế hoạch nhiều lần, đồng thời tăng cường trách nhiệm giải trình của các cơ quan quản lý và các địa phương thụ hưởng vốn.</w:t>
      </w:r>
    </w:p>
    <w:p>
      <w:pPr>
        <w:spacing w:line="276" w:lineRule="auto"/>
        <w:ind w:firstLine="567"/>
        <w:rPr>
          <w:spacing w:val="-4"/>
          <w:szCs w:val="28"/>
          <w:lang w:val="vi-VN"/>
        </w:rPr>
      </w:pPr>
      <w:r>
        <w:rPr>
          <w:spacing w:val="-4"/>
          <w:szCs w:val="28"/>
          <w:lang w:val="vi-VN"/>
        </w:rPr>
        <w:t>Thứ tư, sự chênh lệch sâu sắc về điều kiện tự nhiên và chi phí đầu tư giữa các vùng miền: Trong quá trình triển khai, sự chênh lệch về điều kiện địa hình (đặc biệt là vùng miền núi phía Tây Thanh Hóa), mật độ dân cư và chi phí đầu tư thực tế giữa các địa bàn ngày càng bộc lộ rõ. Tuy nhiên, cấu trúc tiêu chí hiện hành chủ yếu vẫn dựa trên đơn vị hành chính và phân loại khó khăn theo danh mục định sẵn. Vấn đề này đặt ra nhu cầu nghiên cứu hoàn thiện hệ thống tiêu chí phân bổ theo hướng phản ánh sát hơn mức độ khó khăn thực chất và nhu cầu hỗ trợ đặc thù của từng địa phương.</w:t>
      </w:r>
    </w:p>
    <w:p>
      <w:pPr>
        <w:spacing w:line="276" w:lineRule="auto"/>
        <w:ind w:firstLine="567"/>
        <w:rPr>
          <w:spacing w:val="-4"/>
          <w:szCs w:val="28"/>
          <w:lang w:val="vi-VN"/>
        </w:rPr>
      </w:pPr>
      <w:r>
        <w:rPr>
          <w:spacing w:val="-4"/>
          <w:szCs w:val="28"/>
          <w:lang w:val="vi-VN"/>
        </w:rPr>
        <w:t>Thứ năm, tính cấp thiết của việc chuyển đổi số trong quản lý ngân sách và chương trình MTQG: Yêu cầu chuyển đổi số ngày càng trở nên quan trọng để nâng cao tính minh bạch và hiệu quả điều hành. Hệ thống tiêu chí phân bổ vốn trong giai đoạn tới cần được thiết kế theo hướng định lượng hóa và chuẩn hóa dữ liệu đầu vào. Đây là điều kiện tiên quyết để xây dựng cơ sở dữ liệu quốc gia dùng chung, phục vụ cho công tác theo dõi, giám sát điện tử và công khai minh bạch toàn bộ quá trình phân bổ, sử dụng vốn từ Trung ương đến địa phương.</w:t>
      </w:r>
    </w:p>
    <w:p>
      <w:pPr>
        <w:spacing w:line="276" w:lineRule="auto"/>
        <w:ind w:firstLine="567"/>
        <w:rPr>
          <w:spacing w:val="-4"/>
          <w:szCs w:val="28"/>
          <w:lang w:val="vi-VN"/>
        </w:rPr>
      </w:pPr>
      <w:r>
        <w:rPr>
          <w:spacing w:val="-4"/>
          <w:szCs w:val="28"/>
          <w:lang w:val="vi-VN"/>
        </w:rPr>
        <w:t>Những vấn đề mới phát sinh nêu trên không chỉ là rào cản kỹ thuật mà còn có tính chất định hướng lại toàn bộ cấu trúc chính sách phân bổ vốn. Đây chính là cơ sở thực tiễn quan trọng để tỉnh Thanh Hóa kiến nghị Trung ương xây dựng Quyết định của Thủ tướng Chính phủ cho giai đoạn 2026–2030 theo hướng tích hợp, điều tiết tổng thể, tăng cường phân cấp gắn với trách nhiệm giải trình nhằm bảo đảm hiệu quả tối đa trong việc sử dụng nguồn lực quốc gia</w:t>
      </w:r>
      <w:r>
        <w:rPr>
          <w:spacing w:val="-4"/>
          <w:szCs w:val="28"/>
          <w:lang w:val="da-DK"/>
        </w:rPr>
        <w:t>.</w:t>
      </w:r>
    </w:p>
    <w:p>
      <w:pPr>
        <w:spacing w:line="276" w:lineRule="auto"/>
        <w:ind w:firstLine="567"/>
        <w:rPr>
          <w:b/>
          <w:bCs/>
          <w:spacing w:val="-4"/>
          <w:szCs w:val="28"/>
          <w:lang w:val="da-DK"/>
        </w:rPr>
      </w:pPr>
      <w:r>
        <w:rPr>
          <w:b/>
          <w:bCs/>
          <w:spacing w:val="-4"/>
          <w:szCs w:val="28"/>
          <w:lang w:val="da-DK"/>
        </w:rPr>
        <w:lastRenderedPageBreak/>
        <w:t>5. Những nội dung khác</w:t>
      </w:r>
    </w:p>
    <w:p>
      <w:pPr>
        <w:spacing w:line="276" w:lineRule="auto"/>
        <w:ind w:firstLine="567"/>
        <w:rPr>
          <w:i/>
          <w:spacing w:val="-4"/>
          <w:szCs w:val="28"/>
          <w:lang w:val="vi-VN"/>
        </w:rPr>
      </w:pPr>
      <w:r>
        <w:rPr>
          <w:b/>
          <w:bCs/>
          <w:i/>
          <w:spacing w:val="-4"/>
          <w:szCs w:val="28"/>
          <w:lang w:val="vi-VN"/>
        </w:rPr>
        <w:t>a) Về tính tương thích và đồng bộ pháp luật</w:t>
      </w:r>
    </w:p>
    <w:p>
      <w:pPr>
        <w:spacing w:line="276" w:lineRule="auto"/>
        <w:ind w:firstLine="567"/>
        <w:rPr>
          <w:spacing w:val="-4"/>
          <w:szCs w:val="28"/>
          <w:lang w:val="vi-VN"/>
        </w:rPr>
      </w:pPr>
      <w:r>
        <w:rPr>
          <w:spacing w:val="-4"/>
          <w:szCs w:val="28"/>
          <w:lang w:val="vi-VN"/>
        </w:rPr>
        <w:t xml:space="preserve">Qua rà soát thực tiễn tại địa phương, các văn bản quy phạm pháp luật do Hội đồng nhân dân tỉnh Thanh Hóa ban hành để cụ thể hóa 03 Chương trình mục tiêu quốc gia </w:t>
      </w:r>
      <w:r>
        <w:rPr>
          <w:spacing w:val="-4"/>
          <w:szCs w:val="28"/>
        </w:rPr>
        <w:t>(</w:t>
      </w:r>
      <w:r>
        <w:rPr>
          <w:spacing w:val="-4"/>
          <w:szCs w:val="28"/>
          <w:lang w:val="vi-VN"/>
        </w:rPr>
        <w:t>gồm Nghị quyết số 256/2022/NQ-HĐND, Nghị quyết số 33/2025/NQ-HĐND và Nghị quyết số 258/2022/NQ-HĐND</w:t>
      </w:r>
      <w:r>
        <w:rPr>
          <w:spacing w:val="-4"/>
          <w:szCs w:val="28"/>
        </w:rPr>
        <w:t>)</w:t>
      </w:r>
      <w:r>
        <w:rPr>
          <w:spacing w:val="-4"/>
          <w:szCs w:val="28"/>
          <w:lang w:val="vi-VN"/>
        </w:rPr>
        <w:t xml:space="preserve"> cơ bản bảo đảm tính tương thích, phù hợp với hệ thống pháp luật hiện hành như Luật Đầu tư công năm 2024, Luật Ngân sách nhà nước và các nghị định hướng dẫn của Chính phủ. Các quy định về nguyên tắc, tiêu chí và định mức phân bổ vốn của tỉnh được thiết kế chặt chẽ trong phạm vi thẩm quyền, không làm phát sinh cơ chế tài chính mới ngoài tổng mức vốn đã được Trung ương giao-.</w:t>
      </w:r>
    </w:p>
    <w:p>
      <w:pPr>
        <w:spacing w:line="276" w:lineRule="auto"/>
        <w:ind w:firstLine="567"/>
        <w:rPr>
          <w:spacing w:val="-4"/>
          <w:szCs w:val="28"/>
          <w:lang w:val="vi-VN"/>
        </w:rPr>
      </w:pPr>
      <w:r>
        <w:rPr>
          <w:spacing w:val="-4"/>
          <w:szCs w:val="28"/>
          <w:lang w:val="vi-VN"/>
        </w:rPr>
        <w:t>Tuy nhiên, việc vận hành song song ba cơ chế phân bổ độc lập dựa trên ba Quyết định khác nhau của Thủ tướng Chính phủ trong cùng một giai đoạn đã làm gia tăng đáng kể khối lượng công việc hành chính tại Thanh Hóa. Trong nhiều trường hợp, khi cần điều chỉnh kế hoạch vốn cho một địa bàn xã thụ hưởng đa mục tiêu, các sở ngành và UBND cấp huyện phải thực hiện thủ tục theo nhiều căn cứ pháp lý khác nhau, dẫn đến quy trình kéo dài. Điều này khẳng định tính cấp thiết của việc xây dựng một Quyết định thống nhất, tích hợp cho giai đoạn 2026–2030 để bảo đảm tính đồng bộ và thuận lợi hơn trong áp dụng pháp luật.</w:t>
      </w:r>
    </w:p>
    <w:p>
      <w:pPr>
        <w:spacing w:line="276" w:lineRule="auto"/>
        <w:ind w:firstLine="567"/>
        <w:rPr>
          <w:b/>
          <w:i/>
          <w:spacing w:val="-4"/>
          <w:szCs w:val="28"/>
          <w:lang w:val="vi-VN"/>
        </w:rPr>
      </w:pPr>
      <w:r>
        <w:rPr>
          <w:b/>
          <w:i/>
          <w:spacing w:val="-4"/>
          <w:szCs w:val="28"/>
          <w:lang w:val="vi-VN"/>
        </w:rPr>
        <w:t>b) Về tác động đến chính sách dân tộc và bảo đảm bình đẳng giới</w:t>
      </w:r>
    </w:p>
    <w:p>
      <w:pPr>
        <w:spacing w:line="276" w:lineRule="auto"/>
        <w:ind w:firstLine="567"/>
        <w:rPr>
          <w:spacing w:val="-4"/>
          <w:szCs w:val="28"/>
          <w:lang w:val="vi-VN"/>
        </w:rPr>
      </w:pPr>
      <w:r>
        <w:rPr>
          <w:spacing w:val="-4"/>
          <w:szCs w:val="28"/>
          <w:lang w:val="vi-VN"/>
        </w:rPr>
        <w:t>Cơ chế phân bổ vốn tại Thanh Hóa giai đoạn 2021–2025 đã thể hiện rõ định hướng ưu tiên cho vùng đồng bào dân tộc thiểu số và miền núi, đặc biệt là các huyện nghèo phía Tây của tỉnh. Việc tập trung nguồn lực theo hệ số điểm ưu tiên cho các xã đặc biệt khó khăn và xã biên giới đã góp phần quan trọng vào việc thực hiện chính sách dân tộc của Đảng và Nhà nước, từng bước thu hẹp khoảng cách phát triển giữa các vùng miền trong tỉnh.</w:t>
      </w:r>
    </w:p>
    <w:p>
      <w:pPr>
        <w:spacing w:line="276" w:lineRule="auto"/>
        <w:ind w:firstLine="567"/>
        <w:rPr>
          <w:spacing w:val="-4"/>
          <w:szCs w:val="28"/>
          <w:lang w:val="vi-VN"/>
        </w:rPr>
      </w:pPr>
      <w:r>
        <w:rPr>
          <w:spacing w:val="-4"/>
          <w:szCs w:val="28"/>
          <w:lang w:val="vi-VN"/>
        </w:rPr>
        <w:t>Về bình đẳng giới, các tiêu chí phân bổ vốn trong cả 03 Chương trình MTQG tại địa phương đều bảo đảm nguyên tắc không phân biệt đối xử. Nguồn lực được phân bổ tập trung vào hạ tầng thiết yếu (nước sinh hoạt, trạm y tế, trường học) và sinh kế đã gián tiếp cải thiện điều kiện sống, tăng cơ hội tiếp cận dịch vụ cơ bản cho phụ nữ và trẻ em vùng nông thôn, miền núi-. Tuy nhiên, thực tế Thanh Hóa vẫn chưa có các công cụ định lượng cụ thể để đo lường tác động trực tiếp của vốn đầu tư đến bình đẳng giới. Đây là nội dung cần được nghiên cứu sâu hơn trong thiết kế cơ chế phân bổ tích hợp giai đoạn tới, nhằm vừa giữ vững nguyên tắc trung lập về giới, vừa tăng khả năng theo dõi tác động xã hội thực chất.</w:t>
      </w:r>
    </w:p>
    <w:p>
      <w:pPr>
        <w:spacing w:line="276" w:lineRule="auto"/>
        <w:ind w:firstLine="567"/>
        <w:rPr>
          <w:b/>
          <w:i/>
          <w:spacing w:val="-4"/>
          <w:szCs w:val="28"/>
          <w:lang w:val="vi-VN"/>
        </w:rPr>
      </w:pPr>
      <w:r>
        <w:rPr>
          <w:b/>
          <w:i/>
          <w:spacing w:val="-4"/>
          <w:szCs w:val="28"/>
          <w:lang w:val="vi-VN"/>
        </w:rPr>
        <w:t>c) Về ứng dụng công nghệ thông tin và chuyển đổi số trong quản lý phân bổ vốn</w:t>
      </w:r>
    </w:p>
    <w:p>
      <w:pPr>
        <w:spacing w:line="276" w:lineRule="auto"/>
        <w:ind w:firstLine="567"/>
        <w:rPr>
          <w:spacing w:val="-4"/>
          <w:szCs w:val="28"/>
          <w:lang w:val="vi-VN"/>
        </w:rPr>
      </w:pPr>
      <w:r>
        <w:rPr>
          <w:spacing w:val="-4"/>
          <w:szCs w:val="28"/>
          <w:lang w:val="vi-VN"/>
        </w:rPr>
        <w:lastRenderedPageBreak/>
        <w:t>Việc áp dụng các tiêu chí phân bổ vốn theo phương pháp định lượng và hệ số tính điểm rõ ràng tại Thanh Hóa đã tạo điều kiện thuận lợi cho việc chuẩn hóa dữ liệu và bước đầu áp dụng các công cụ tính toán tự động trong khâu giao kế hoạch. Điều này giúp giảm thiểu sai sót và nâng cao tính minh bạch trong quản lý ngân sách nhà nước.</w:t>
      </w:r>
    </w:p>
    <w:p>
      <w:pPr>
        <w:spacing w:line="276" w:lineRule="auto"/>
        <w:ind w:firstLine="567"/>
        <w:rPr>
          <w:spacing w:val="-4"/>
          <w:szCs w:val="28"/>
          <w:lang w:val="vi-VN"/>
        </w:rPr>
      </w:pPr>
      <w:r>
        <w:rPr>
          <w:spacing w:val="-4"/>
          <w:szCs w:val="28"/>
          <w:lang w:val="vi-VN"/>
        </w:rPr>
        <w:t>Dù vậy, hệ thống kết nối và chia sẻ dữ liệu giữa 03 Chương trình MTQG và giữa các cấp quản lý (từ tỉnh đến xã) hiện vẫn còn phân tán, chưa hình thành được một cơ sở dữ liệu tích hợp dùng chung để điều hành tổng thể nguồn lực trên cùng một địa bàn. Yêu cầu chuyển đổi số mạnh mẽ trong giai đoạn 2026–2030 đòi hỏi cơ chế phân bổ mới phải được thiết kế theo hướng có khả năng số hóa cao, chuẩn hóa dữ liệu đầu vào ngay từ cấp cơ sở để phục vụ công tác giám sát điện tử và công khai minh bạch kết quả giải ngân theo thời gian thực.</w:t>
      </w:r>
    </w:p>
    <w:p>
      <w:pPr>
        <w:spacing w:line="276" w:lineRule="auto"/>
        <w:ind w:firstLine="567"/>
        <w:rPr>
          <w:spacing w:val="-4"/>
          <w:szCs w:val="28"/>
          <w:lang w:val="vi-VN"/>
        </w:rPr>
      </w:pPr>
      <w:r>
        <w:rPr>
          <w:spacing w:val="-4"/>
          <w:szCs w:val="28"/>
          <w:lang w:val="vi-VN"/>
        </w:rPr>
        <w:t>Bài học kinh nghiệm chính sách</w:t>
      </w:r>
    </w:p>
    <w:p>
      <w:pPr>
        <w:spacing w:line="276" w:lineRule="auto"/>
        <w:ind w:firstLine="567"/>
        <w:rPr>
          <w:spacing w:val="-4"/>
          <w:szCs w:val="28"/>
          <w:lang w:val="vi-VN"/>
        </w:rPr>
      </w:pPr>
      <w:r>
        <w:rPr>
          <w:spacing w:val="-4"/>
          <w:szCs w:val="28"/>
          <w:lang w:val="vi-VN"/>
        </w:rPr>
        <w:t>Qua thực tiễn thi hành pháp luật về phân bổ vốn tại Thanh Hóa, có thể rút ra một số bài học kinh nghiệm quan trọng:</w:t>
      </w:r>
    </w:p>
    <w:p>
      <w:pPr>
        <w:spacing w:line="276" w:lineRule="auto"/>
        <w:ind w:firstLine="567"/>
        <w:rPr>
          <w:spacing w:val="-4"/>
          <w:szCs w:val="28"/>
          <w:lang w:val="vi-VN"/>
        </w:rPr>
      </w:pPr>
      <w:r>
        <w:rPr>
          <w:spacing w:val="-4"/>
          <w:szCs w:val="28"/>
          <w:lang w:val="vi-VN"/>
        </w:rPr>
        <w:t>Tính đơn giản và minh bạch: Cơ chế phân bổ vốn phải được thiết kế đơn giản, định lượng hóa rõ ràng để dễ áp dụng và có khả năng kiểm chứng cao bởi các cơ quan giám sát và cộng đồng dân cư.</w:t>
      </w:r>
    </w:p>
    <w:p>
      <w:pPr>
        <w:spacing w:line="276" w:lineRule="auto"/>
        <w:ind w:firstLine="567"/>
        <w:rPr>
          <w:spacing w:val="-4"/>
          <w:szCs w:val="28"/>
          <w:lang w:val="vi-VN"/>
        </w:rPr>
      </w:pPr>
      <w:r>
        <w:rPr>
          <w:spacing w:val="-4"/>
          <w:szCs w:val="28"/>
          <w:lang w:val="vi-VN"/>
        </w:rPr>
        <w:t>Phân cấp gắn liền với trách nhiệm: Việc đẩy mạnh phân cấp cho địa phương chủ động trong khâu phân bổ chi tiết là hết sức cần thiết nhưng phải đi kèm với cơ chế kiểm soát chặt chẽ và quy định rõ trách nhiệm giải trình của người đứng đầu.</w:t>
      </w:r>
    </w:p>
    <w:p>
      <w:pPr>
        <w:spacing w:line="276" w:lineRule="auto"/>
        <w:ind w:firstLine="567"/>
        <w:rPr>
          <w:spacing w:val="-4"/>
          <w:szCs w:val="28"/>
          <w:lang w:val="vi-VN"/>
        </w:rPr>
      </w:pPr>
      <w:r>
        <w:rPr>
          <w:spacing w:val="-4"/>
          <w:szCs w:val="28"/>
          <w:lang w:val="vi-VN"/>
        </w:rPr>
        <w:t>Dự báo biến động: Cần dự liệu các phương án điều chỉnh chính sách và vốn ngay từ khâu thiết kế để kịp thời ứng phó với các yếu tố bất khả kháng (thiên tai, biến động giá cả), từ đó giảm chi phí sửa đổi văn bản trong quá trình thực hiện.</w:t>
      </w:r>
    </w:p>
    <w:p>
      <w:pPr>
        <w:spacing w:line="276" w:lineRule="auto"/>
        <w:ind w:firstLine="567"/>
        <w:rPr>
          <w:spacing w:val="-4"/>
          <w:szCs w:val="28"/>
          <w:lang w:val="vi-VN"/>
        </w:rPr>
      </w:pPr>
      <w:r>
        <w:rPr>
          <w:spacing w:val="-4"/>
          <w:szCs w:val="28"/>
          <w:lang w:val="vi-VN"/>
        </w:rPr>
        <w:t>Ưu tiên mô hình tích hợp: Việc phân bổ nguồn lực theo từng chương trình riêng lẻ dù bảo đảm tính chuyên biệt nhưng lại hạn chế khả năng điều tiết tổng thể nguồn lực tại cơ sở; do đó, chuyển sang mô hình tích hợp ngay từ đầu giai đoạn 2026–2030 là giải pháp tối ưu để nâng cao hiệu quả quản trị nguồn lực quốc gia.</w:t>
      </w:r>
    </w:p>
    <w:p>
      <w:pPr>
        <w:widowControl w:val="0"/>
        <w:spacing w:line="276" w:lineRule="auto"/>
        <w:ind w:firstLine="567"/>
        <w:rPr>
          <w:b/>
          <w:bCs/>
          <w:spacing w:val="-4"/>
          <w:szCs w:val="28"/>
          <w:lang w:val="da-DK"/>
        </w:rPr>
      </w:pPr>
      <w:r>
        <w:rPr>
          <w:b/>
          <w:bCs/>
          <w:spacing w:val="-4"/>
          <w:szCs w:val="28"/>
          <w:lang w:val="da-DK"/>
        </w:rPr>
        <w:t>III. ĐỀ XUẤT, KIẾN NGHỊ</w:t>
      </w:r>
    </w:p>
    <w:p>
      <w:pPr>
        <w:spacing w:line="276" w:lineRule="auto"/>
        <w:ind w:firstLine="567"/>
        <w:rPr>
          <w:spacing w:val="-4"/>
          <w:szCs w:val="28"/>
          <w:lang w:val="vi-VN"/>
        </w:rPr>
      </w:pPr>
      <w:r>
        <w:rPr>
          <w:spacing w:val="-4"/>
          <w:szCs w:val="28"/>
          <w:lang w:val="vi-VN"/>
        </w:rPr>
        <w:t xml:space="preserve">Trên cơ sở tổng kết việc thi hành các </w:t>
      </w:r>
      <w:r>
        <w:rPr>
          <w:spacing w:val="-4"/>
          <w:szCs w:val="28"/>
        </w:rPr>
        <w:t xml:space="preserve">Nghị quyết gồm: </w:t>
      </w:r>
      <w:r>
        <w:rPr>
          <w:spacing w:val="-4"/>
          <w:szCs w:val="28"/>
          <w:lang w:val="vi-VN"/>
        </w:rPr>
        <w:t>Nghị quyết số 256/2022/NQ-HĐND, Nghị quyết số 33/2025/NQ-HĐND và Nghị quyết số 258/2022/NQ-HĐND, nhằm phục vụ trực tiếp cho việc xây dựng Nghị quyết mới của HĐND tỉnh áp dụng cho giai đoạn 2026–2030 theo Nghị quyết số 257/2025/QH15 của Quốc hội, Sở Nông nghiệp và Môi trường đề xuất, kiến nghị một số nội dung trọng tâm như sau:</w:t>
      </w:r>
    </w:p>
    <w:p>
      <w:pPr>
        <w:spacing w:line="276" w:lineRule="auto"/>
        <w:ind w:firstLine="567"/>
        <w:rPr>
          <w:spacing w:val="-4"/>
          <w:szCs w:val="28"/>
          <w:lang w:val="vi-VN"/>
        </w:rPr>
      </w:pPr>
      <w:r>
        <w:rPr>
          <w:b/>
          <w:bCs/>
          <w:spacing w:val="-4"/>
          <w:szCs w:val="28"/>
        </w:rPr>
        <w:t>1</w:t>
      </w:r>
      <w:r>
        <w:rPr>
          <w:b/>
          <w:bCs/>
          <w:spacing w:val="-4"/>
          <w:szCs w:val="28"/>
          <w:lang w:val="vi-VN"/>
        </w:rPr>
        <w:t>. Về hoàn thiện hệ thống tiêu chí phân bổ</w:t>
      </w:r>
    </w:p>
    <w:p>
      <w:pPr>
        <w:spacing w:line="276" w:lineRule="auto"/>
        <w:ind w:firstLine="567"/>
        <w:rPr>
          <w:spacing w:val="-4"/>
          <w:szCs w:val="28"/>
          <w:lang w:val="vi-VN"/>
        </w:rPr>
      </w:pPr>
      <w:r>
        <w:rPr>
          <w:spacing w:val="-4"/>
          <w:szCs w:val="28"/>
          <w:lang w:val="vi-VN"/>
        </w:rPr>
        <w:lastRenderedPageBreak/>
        <w:t>Phương pháp phân bổ dựa trên tiêu chí định lượng theo đơn vị hành chính và mức độ khó khăn là phù hợp, song cần được hoàn thiện để tăng mức độ phân hóa theo điều kiện thực tế của từng vùng miền trong tỉnh:</w:t>
      </w:r>
    </w:p>
    <w:p>
      <w:pPr>
        <w:spacing w:line="276" w:lineRule="auto"/>
        <w:ind w:firstLine="567"/>
        <w:rPr>
          <w:spacing w:val="-4"/>
          <w:szCs w:val="28"/>
          <w:lang w:val="vi-VN"/>
        </w:rPr>
      </w:pPr>
      <w:r>
        <w:rPr>
          <w:spacing w:val="-4"/>
          <w:szCs w:val="28"/>
          <w:lang w:val="vi-VN"/>
        </w:rPr>
        <w:t>Phân nhóm địa phương theo khả năng cân đối ngân sách và mức độ phụ thuộc vào ngân sách trung ương</w:t>
      </w:r>
      <w:r>
        <w:rPr>
          <w:spacing w:val="-4"/>
          <w:szCs w:val="28"/>
        </w:rPr>
        <w:t>, h</w:t>
      </w:r>
      <w:r>
        <w:rPr>
          <w:spacing w:val="-4"/>
          <w:szCs w:val="28"/>
          <w:lang w:val="vi-VN"/>
        </w:rPr>
        <w:t>ạn chế tình trạng phân bổ mang tính bình quân trong cùng một nhóm địa phương để tập trung vốn cho các mục tiêu trọng điểm.</w:t>
      </w:r>
    </w:p>
    <w:p>
      <w:pPr>
        <w:spacing w:line="276" w:lineRule="auto"/>
        <w:ind w:firstLine="567"/>
        <w:rPr>
          <w:spacing w:val="-4"/>
          <w:szCs w:val="28"/>
          <w:lang w:val="vi-VN"/>
        </w:rPr>
      </w:pPr>
      <w:r>
        <w:rPr>
          <w:spacing w:val="-4"/>
          <w:szCs w:val="28"/>
          <w:lang w:val="vi-VN"/>
        </w:rPr>
        <w:t>Hệ thống tiêu chí cần bảo đảm đơn giản, dễ áp dụng, ổn định trong cả giai đoạn trung hạn nhưng vẫn có khả năng điều chỉnh hợp lý khi thực tiễn thay đổi.</w:t>
      </w:r>
    </w:p>
    <w:p>
      <w:pPr>
        <w:spacing w:line="276" w:lineRule="auto"/>
        <w:ind w:firstLine="567"/>
        <w:rPr>
          <w:spacing w:val="-4"/>
          <w:szCs w:val="28"/>
          <w:lang w:val="vi-VN"/>
        </w:rPr>
      </w:pPr>
      <w:r>
        <w:rPr>
          <w:b/>
          <w:bCs/>
          <w:spacing w:val="-4"/>
          <w:szCs w:val="28"/>
        </w:rPr>
        <w:t>2</w:t>
      </w:r>
      <w:r>
        <w:rPr>
          <w:b/>
          <w:bCs/>
          <w:spacing w:val="-4"/>
          <w:szCs w:val="28"/>
          <w:lang w:val="vi-VN"/>
        </w:rPr>
        <w:t>. Về cơ chế tỷ lệ vốn đối ứng của ngân sách địa phương</w:t>
      </w:r>
    </w:p>
    <w:p>
      <w:pPr>
        <w:spacing w:line="276" w:lineRule="auto"/>
        <w:ind w:firstLine="567"/>
        <w:rPr>
          <w:spacing w:val="-4"/>
          <w:szCs w:val="28"/>
          <w:lang w:val="vi-VN"/>
        </w:rPr>
      </w:pPr>
      <w:r>
        <w:rPr>
          <w:spacing w:val="-4"/>
          <w:szCs w:val="28"/>
          <w:lang w:val="vi-VN"/>
        </w:rPr>
        <w:t>Quy định tỷ lệ vốn đối ứng đã góp phần nâng cao trách nhiệm của địa phương, nhưng cần tăng tính phân hóa để phù hợp với khả năng cân đối thực tế</w:t>
      </w:r>
      <w:r>
        <w:rPr>
          <w:spacing w:val="-4"/>
          <w:szCs w:val="28"/>
        </w:rPr>
        <w:t>, qua đó b</w:t>
      </w:r>
      <w:r>
        <w:rPr>
          <w:spacing w:val="-4"/>
          <w:szCs w:val="28"/>
          <w:lang w:val="vi-VN"/>
        </w:rPr>
        <w:t>ảo đảm nguyên tắc đồng trách nhiệm nhưng không tạo áp lực tài chính vượt quá khả năng cân đối của các huyện nghèo, xã đặc biệt khó khăn.</w:t>
      </w:r>
    </w:p>
    <w:p>
      <w:pPr>
        <w:spacing w:line="276" w:lineRule="auto"/>
        <w:ind w:firstLine="567"/>
        <w:rPr>
          <w:spacing w:val="-4"/>
          <w:szCs w:val="28"/>
          <w:lang w:val="vi-VN"/>
        </w:rPr>
      </w:pPr>
      <w:r>
        <w:rPr>
          <w:spacing w:val="-4"/>
          <w:szCs w:val="28"/>
          <w:lang w:val="vi-VN"/>
        </w:rPr>
        <w:t>Gắn trách nhiệm bố trí vốn đối ứng với trách nhiệm tổ chức thực hiện và kết quả giải ngân thực tế.</w:t>
      </w:r>
    </w:p>
    <w:p>
      <w:pPr>
        <w:spacing w:line="276" w:lineRule="auto"/>
        <w:ind w:firstLine="567"/>
        <w:rPr>
          <w:spacing w:val="-4"/>
          <w:szCs w:val="28"/>
          <w:lang w:val="vi-VN"/>
        </w:rPr>
      </w:pPr>
      <w:r>
        <w:rPr>
          <w:b/>
          <w:bCs/>
          <w:spacing w:val="-4"/>
          <w:szCs w:val="28"/>
        </w:rPr>
        <w:t>3</w:t>
      </w:r>
      <w:r>
        <w:rPr>
          <w:b/>
          <w:bCs/>
          <w:spacing w:val="-4"/>
          <w:szCs w:val="28"/>
          <w:lang w:val="vi-VN"/>
        </w:rPr>
        <w:t xml:space="preserve">. </w:t>
      </w:r>
      <w:r>
        <w:rPr>
          <w:b/>
          <w:bCs/>
          <w:spacing w:val="-4"/>
          <w:szCs w:val="28"/>
        </w:rPr>
        <w:t>P</w:t>
      </w:r>
      <w:r>
        <w:rPr>
          <w:b/>
          <w:bCs/>
          <w:spacing w:val="-4"/>
          <w:szCs w:val="28"/>
          <w:lang w:val="vi-VN"/>
        </w:rPr>
        <w:t>hân cấp và kiểm soát rủi ro trong tổ chức thực hiện</w:t>
      </w:r>
    </w:p>
    <w:p>
      <w:pPr>
        <w:spacing w:line="276" w:lineRule="auto"/>
        <w:ind w:firstLine="567"/>
        <w:rPr>
          <w:spacing w:val="-4"/>
          <w:szCs w:val="28"/>
          <w:lang w:val="vi-VN"/>
        </w:rPr>
      </w:pPr>
      <w:r>
        <w:rPr>
          <w:spacing w:val="-4"/>
          <w:szCs w:val="28"/>
          <w:lang w:val="vi-VN"/>
        </w:rPr>
        <w:t>Địa phương</w:t>
      </w:r>
      <w:r>
        <w:rPr>
          <w:spacing w:val="-4"/>
          <w:szCs w:val="28"/>
        </w:rPr>
        <w:t>, xấp xã</w:t>
      </w:r>
      <w:r>
        <w:rPr>
          <w:spacing w:val="-4"/>
          <w:szCs w:val="28"/>
          <w:lang w:val="vi-VN"/>
        </w:rPr>
        <w:t xml:space="preserve"> được chủ động điều chỉnh nội bộ trong phạm vi tổng mức được giao để kịp thời xử lý các tình huống phát sinh.</w:t>
      </w:r>
    </w:p>
    <w:p>
      <w:pPr>
        <w:spacing w:line="276" w:lineRule="auto"/>
        <w:ind w:firstLine="567"/>
        <w:rPr>
          <w:spacing w:val="-4"/>
          <w:szCs w:val="28"/>
          <w:lang w:val="vi-VN"/>
        </w:rPr>
      </w:pPr>
      <w:r>
        <w:rPr>
          <w:spacing w:val="-4"/>
          <w:szCs w:val="28"/>
          <w:lang w:val="vi-VN"/>
        </w:rPr>
        <w:t>Tăng cường công khai, minh bạch và gắn việc phân bổ vốn hằng năm với tiến độ thực hiện, kết quả giải ngân của năm trước đó nhằm bảo đảm kỷ luật tài chính - ngân sách.</w:t>
      </w:r>
    </w:p>
    <w:p>
      <w:pPr>
        <w:widowControl w:val="0"/>
        <w:spacing w:line="276" w:lineRule="auto"/>
        <w:ind w:firstLine="567"/>
        <w:rPr>
          <w:spacing w:val="-4"/>
        </w:rPr>
      </w:pPr>
      <w:r>
        <w:rPr>
          <w:spacing w:val="-4"/>
          <w:szCs w:val="28"/>
          <w:lang w:val="da-DK"/>
        </w:rPr>
        <w:t>Sở Nông nghiệp và Môi trường kính báo cáo và xin ý kiến chỉ đạo của Thường trực HĐND tỉnh và Thường trực UBND tỉnh./.</w:t>
      </w:r>
      <w:r>
        <w:rPr>
          <w:spacing w:val="-4"/>
        </w:rPr>
        <w:t xml:space="preserve"> </w:t>
      </w:r>
    </w:p>
    <w:tbl>
      <w:tblPr>
        <w:tblW w:w="8505" w:type="dxa"/>
        <w:tblInd w:w="284" w:type="dxa"/>
        <w:tblLook w:val="04A0" w:firstRow="1" w:lastRow="0" w:firstColumn="1" w:lastColumn="0" w:noHBand="0" w:noVBand="1"/>
      </w:tblPr>
      <w:tblGrid>
        <w:gridCol w:w="5103"/>
        <w:gridCol w:w="3402"/>
      </w:tblGrid>
      <w:tr>
        <w:tc>
          <w:tcPr>
            <w:tcW w:w="5103" w:type="dxa"/>
          </w:tcPr>
          <w:bookmarkEnd w:id="0"/>
          <w:p>
            <w:pPr>
              <w:spacing w:before="0" w:after="0" w:line="320" w:lineRule="exact"/>
              <w:ind w:firstLine="0"/>
              <w:rPr>
                <w:b/>
                <w:bCs/>
                <w:i/>
                <w:sz w:val="24"/>
              </w:rPr>
            </w:pPr>
            <w:r>
              <w:rPr>
                <w:b/>
                <w:bCs/>
                <w:i/>
                <w:sz w:val="24"/>
              </w:rPr>
              <w:t>Nơi nhận:</w:t>
            </w:r>
          </w:p>
          <w:p>
            <w:pPr>
              <w:spacing w:before="0" w:after="0"/>
              <w:ind w:firstLine="0"/>
              <w:rPr>
                <w:bCs/>
                <w:sz w:val="22"/>
              </w:rPr>
            </w:pPr>
            <w:r>
              <w:rPr>
                <w:bCs/>
                <w:sz w:val="22"/>
              </w:rPr>
              <w:t>- Thường trực HĐND tỉnh (để báo cáo);</w:t>
            </w:r>
          </w:p>
          <w:p>
            <w:pPr>
              <w:spacing w:before="0" w:after="0"/>
              <w:ind w:firstLine="0"/>
              <w:rPr>
                <w:bCs/>
                <w:sz w:val="22"/>
              </w:rPr>
            </w:pPr>
            <w:r>
              <w:rPr>
                <w:bCs/>
                <w:sz w:val="22"/>
              </w:rPr>
              <w:t>- Thường trực UBND tỉnh (để báo cáo);</w:t>
            </w:r>
          </w:p>
          <w:p>
            <w:pPr>
              <w:spacing w:before="0" w:after="0"/>
              <w:ind w:firstLine="0"/>
              <w:rPr>
                <w:bCs/>
                <w:sz w:val="22"/>
              </w:rPr>
            </w:pPr>
            <w:r>
              <w:rPr>
                <w:bCs/>
                <w:sz w:val="22"/>
              </w:rPr>
              <w:t>- Các Phó CT UBND tỉnh (để báo cáo);</w:t>
            </w:r>
          </w:p>
          <w:p>
            <w:pPr>
              <w:spacing w:before="0" w:after="0"/>
              <w:ind w:firstLine="0"/>
              <w:rPr>
                <w:bCs/>
                <w:sz w:val="22"/>
              </w:rPr>
            </w:pPr>
            <w:r>
              <w:rPr>
                <w:bCs/>
                <w:sz w:val="22"/>
              </w:rPr>
              <w:t>- Sở Tư pháp;</w:t>
            </w:r>
          </w:p>
          <w:p>
            <w:pPr>
              <w:spacing w:before="0" w:after="0"/>
              <w:ind w:firstLine="0"/>
              <w:rPr>
                <w:b/>
                <w:bCs/>
              </w:rPr>
            </w:pPr>
            <w:r>
              <w:rPr>
                <w:bCs/>
                <w:sz w:val="22"/>
              </w:rPr>
              <w:t>- Lưu: VT, VPĐP.</w:t>
            </w:r>
            <w:r>
              <w:rPr>
                <w:b/>
                <w:bCs/>
                <w:sz w:val="22"/>
              </w:rPr>
              <w:t xml:space="preserve"> </w:t>
            </w:r>
          </w:p>
        </w:tc>
        <w:tc>
          <w:tcPr>
            <w:tcW w:w="3402" w:type="dxa"/>
          </w:tcPr>
          <w:p>
            <w:pPr>
              <w:spacing w:before="0" w:after="0" w:line="340" w:lineRule="exact"/>
              <w:jc w:val="center"/>
              <w:rPr>
                <w:b/>
                <w:bCs/>
                <w:szCs w:val="28"/>
              </w:rPr>
            </w:pPr>
            <w:r>
              <w:rPr>
                <w:b/>
                <w:bCs/>
                <w:szCs w:val="28"/>
              </w:rPr>
              <w:t>GIÁM ĐỐC</w:t>
            </w:r>
          </w:p>
          <w:p>
            <w:pPr>
              <w:spacing w:before="0" w:after="0" w:line="340" w:lineRule="exact"/>
              <w:jc w:val="center"/>
              <w:rPr>
                <w:b/>
                <w:bCs/>
                <w:sz w:val="32"/>
                <w:szCs w:val="28"/>
              </w:rPr>
            </w:pPr>
          </w:p>
          <w:p>
            <w:pPr>
              <w:spacing w:before="0" w:after="0" w:line="340" w:lineRule="exact"/>
              <w:jc w:val="center"/>
              <w:rPr>
                <w:b/>
                <w:bCs/>
                <w:sz w:val="14"/>
                <w:szCs w:val="28"/>
              </w:rPr>
            </w:pPr>
          </w:p>
          <w:p>
            <w:pPr>
              <w:spacing w:before="0" w:after="0" w:line="340" w:lineRule="exact"/>
              <w:jc w:val="center"/>
              <w:rPr>
                <w:b/>
                <w:bCs/>
                <w:sz w:val="14"/>
                <w:szCs w:val="28"/>
              </w:rPr>
            </w:pPr>
          </w:p>
          <w:p>
            <w:pPr>
              <w:spacing w:before="0" w:after="0" w:line="340" w:lineRule="exact"/>
              <w:jc w:val="center"/>
              <w:rPr>
                <w:b/>
                <w:bCs/>
                <w:sz w:val="32"/>
                <w:szCs w:val="28"/>
              </w:rPr>
            </w:pPr>
          </w:p>
          <w:p>
            <w:pPr>
              <w:spacing w:before="0" w:after="0" w:line="340" w:lineRule="exact"/>
              <w:jc w:val="center"/>
              <w:rPr>
                <w:b/>
                <w:bCs/>
                <w:sz w:val="32"/>
                <w:szCs w:val="28"/>
              </w:rPr>
            </w:pPr>
          </w:p>
          <w:p>
            <w:pPr>
              <w:spacing w:before="0" w:after="0" w:line="340" w:lineRule="exact"/>
              <w:jc w:val="center"/>
              <w:rPr>
                <w:b/>
                <w:bCs/>
                <w:szCs w:val="28"/>
              </w:rPr>
            </w:pPr>
            <w:r>
              <w:rPr>
                <w:b/>
                <w:bCs/>
                <w:szCs w:val="28"/>
              </w:rPr>
              <w:t>Lê Văn Tiến</w:t>
            </w:r>
          </w:p>
        </w:tc>
      </w:tr>
    </w:tbl>
    <w:p>
      <w:pPr>
        <w:widowControl w:val="0"/>
        <w:spacing w:after="360" w:line="340" w:lineRule="exact"/>
        <w:ind w:firstLine="567"/>
        <w:rPr>
          <w:spacing w:val="-2"/>
        </w:rPr>
      </w:pPr>
    </w:p>
    <w:sectPr>
      <w:headerReference w:type="default" r:id="rId10"/>
      <w:pgSz w:w="11907" w:h="16840" w:code="9"/>
      <w:pgMar w:top="1021" w:right="1134" w:bottom="1021"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before="0" w:after="0"/>
      </w:pPr>
      <w:r>
        <w:separator/>
      </w:r>
    </w:p>
  </w:endnote>
  <w:endnote w:type="continuationSeparator" w:id="0">
    <w:p>
      <w:pPr>
        <w:spacing w:before="0" w:after="0"/>
      </w:pPr>
      <w:r>
        <w:continuationSeparator/>
      </w:r>
    </w:p>
  </w:endnote>
  <w:endnote w:type="continuationNotice" w:id="1">
    <w:p>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before="0" w:after="0"/>
      </w:pPr>
      <w:r>
        <w:separator/>
      </w:r>
    </w:p>
  </w:footnote>
  <w:footnote w:type="continuationSeparator" w:id="0">
    <w:p>
      <w:pPr>
        <w:spacing w:before="0" w:after="0"/>
      </w:pPr>
      <w:r>
        <w:continuationSeparator/>
      </w:r>
    </w:p>
  </w:footnote>
  <w:footnote w:type="continuationNotice" w:id="1">
    <w:p>
      <w:pPr>
        <w:spacing w:before="0" w:after="0"/>
      </w:pPr>
    </w:p>
  </w:footnote>
  <w:footnote w:id="2">
    <w:p>
      <w:pPr>
        <w:pStyle w:val="FootnoteText"/>
        <w:ind w:firstLine="0"/>
        <w:rPr>
          <w:lang w:val="en-US"/>
        </w:rPr>
      </w:pPr>
      <w:r>
        <w:rPr>
          <w:rStyle w:val="FootnoteReference"/>
        </w:rPr>
        <w:footnoteRef/>
      </w:r>
      <w:r>
        <w:t xml:space="preserve"> </w:t>
      </w:r>
      <w:r>
        <w:rPr>
          <w:lang w:val="en-US"/>
        </w:rPr>
        <w:t xml:space="preserve">Các Quyết định của Thủ tướng Chính phủ: Số </w:t>
      </w:r>
      <w:r>
        <w:rPr>
          <w:b/>
          <w:bCs/>
          <w:lang w:val="en-US"/>
        </w:rPr>
        <w:t xml:space="preserve">07/2022/QĐ-TTg </w:t>
      </w:r>
      <w:r>
        <w:rPr>
          <w:lang w:val="en-US"/>
        </w:rPr>
        <w:t xml:space="preserve">ngày 25/03/2022 quy định </w:t>
      </w:r>
      <w:r>
        <w:t>nguyên tắc, tiêu chí, định mức phân bổ vốn ngân sách trung ương và tỷ lệ vốn đối ứng của ngân sách địa phương thực hiện Chương trình MTQG</w:t>
      </w:r>
      <w:r>
        <w:rPr>
          <w:lang w:val="en-US"/>
        </w:rPr>
        <w:t xml:space="preserve"> xây dựng nông thôn mới giai đoạn 2021-2025; số </w:t>
      </w:r>
      <w:r>
        <w:rPr>
          <w:b/>
          <w:bCs/>
          <w:lang w:val="en-US"/>
        </w:rPr>
        <w:t>02/2022/QĐ-TTg</w:t>
      </w:r>
      <w:r>
        <w:rPr>
          <w:lang w:val="en-US"/>
        </w:rPr>
        <w:t xml:space="preserve"> ngày 18/01/2022 quy định </w:t>
      </w:r>
      <w:r>
        <w:t>nguyên tắc, tiêu chí, định mức phân bổ vốn ngân sách trung ương và tỷ lệ vốn đối ứng của ngân sách địa phương thực hiện Chương trình MTQG</w:t>
      </w:r>
      <w:r>
        <w:rPr>
          <w:lang w:val="en-US"/>
        </w:rPr>
        <w:t xml:space="preserve"> giảm nghèo bền vững giai đoạn 2021-2025; </w:t>
      </w:r>
      <w:r>
        <w:t xml:space="preserve">số </w:t>
      </w:r>
      <w:r>
        <w:rPr>
          <w:b/>
          <w:bCs/>
        </w:rPr>
        <w:t>39/2021/QĐ-TTg</w:t>
      </w:r>
      <w:r>
        <w:t xml:space="preserve"> ngày 30/12/2021 quy định nguyên tắc, tiêu chí, định mức phân bổ vốn ngân sách trung ương và tỷ lệ vốn đối ứng của ngân sách địa phương thực hiện Chương trình MTQG phát triển kinh tế - xã hội vùng đồng bào DTTS&amp;MN giai đoạn 2021 - 2030, giai đoạn I: từ năm 2021 đến năm 2025 </w:t>
      </w:r>
      <w:r>
        <w:rPr>
          <w:i/>
          <w:iCs/>
        </w:rPr>
        <w:t>(được sửa đổi, bổ sung bởi Quyết định số 18/2023/QĐ-TTg ngày 01/7/2023, Quyết định số 35/2025/QĐ-TTg ngày 25/9/2025 của Thủ tướng Chính phủ)</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spacing w:after="0"/>
      <w:ind w:firstLine="0"/>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13</w:t>
    </w:r>
    <w:r>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246A8F"/>
    <w:multiLevelType w:val="multilevel"/>
    <w:tmpl w:val="897CB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4" w15:restartNumberingAfterBreak="0">
    <w:nsid w:val="100A7BF1"/>
    <w:multiLevelType w:val="multilevel"/>
    <w:tmpl w:val="2B805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572C4"/>
    <w:multiLevelType w:val="multilevel"/>
    <w:tmpl w:val="519C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3714CD"/>
    <w:multiLevelType w:val="multilevel"/>
    <w:tmpl w:val="5596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F1593"/>
    <w:multiLevelType w:val="multilevel"/>
    <w:tmpl w:val="D02A9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DB01430"/>
    <w:multiLevelType w:val="multilevel"/>
    <w:tmpl w:val="750CD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FC065C"/>
    <w:multiLevelType w:val="multilevel"/>
    <w:tmpl w:val="52365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A1A50"/>
    <w:multiLevelType w:val="multilevel"/>
    <w:tmpl w:val="5D3C5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14" w15:restartNumberingAfterBreak="0">
    <w:nsid w:val="31D738EB"/>
    <w:multiLevelType w:val="multilevel"/>
    <w:tmpl w:val="810630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1C1D99"/>
    <w:multiLevelType w:val="multilevel"/>
    <w:tmpl w:val="7486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DC2605"/>
    <w:multiLevelType w:val="multilevel"/>
    <w:tmpl w:val="A4223E66"/>
    <w:lvl w:ilvl="0">
      <w:start w:val="2"/>
      <w:numFmt w:val="decimal"/>
      <w:lvlText w:val="%1."/>
      <w:lvlJc w:val="left"/>
      <w:pPr>
        <w:ind w:left="450" w:hanging="450"/>
      </w:pPr>
      <w:rPr>
        <w:rFonts w:hint="default"/>
        <w:b/>
      </w:rPr>
    </w:lvl>
    <w:lvl w:ilvl="1">
      <w:start w:val="3"/>
      <w:numFmt w:val="decimal"/>
      <w:lvlText w:val="%1.%2."/>
      <w:lvlJc w:val="left"/>
      <w:pPr>
        <w:ind w:left="1713" w:hanging="720"/>
      </w:pPr>
      <w:rPr>
        <w:rFonts w:hint="default"/>
        <w:b/>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7" w15:restartNumberingAfterBreak="0">
    <w:nsid w:val="36E068EA"/>
    <w:multiLevelType w:val="hybridMultilevel"/>
    <w:tmpl w:val="D08E9156"/>
    <w:lvl w:ilvl="0" w:tplc="235A998A">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D6043B0"/>
    <w:multiLevelType w:val="multilevel"/>
    <w:tmpl w:val="DBA4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8E0A34"/>
    <w:multiLevelType w:val="hybridMultilevel"/>
    <w:tmpl w:val="86FCDB60"/>
    <w:lvl w:ilvl="0" w:tplc="04090001">
      <w:start w:val="1"/>
      <w:numFmt w:val="bullet"/>
      <w:lvlText w:val=""/>
      <w:lvlJc w:val="left"/>
      <w:pPr>
        <w:ind w:left="720" w:hanging="360"/>
      </w:pPr>
      <w:rPr>
        <w:rFonts w:ascii="Symbol" w:hAnsi="Symbol" w:hint="default"/>
      </w:rPr>
    </w:lvl>
    <w:lvl w:ilvl="1" w:tplc="8F2855C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1"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4FE670FF"/>
    <w:multiLevelType w:val="multilevel"/>
    <w:tmpl w:val="749E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4" w15:restartNumberingAfterBreak="0">
    <w:nsid w:val="526357DA"/>
    <w:multiLevelType w:val="multilevel"/>
    <w:tmpl w:val="3662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6E08E5"/>
    <w:multiLevelType w:val="multilevel"/>
    <w:tmpl w:val="EE5008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27" w15:restartNumberingAfterBreak="0">
    <w:nsid w:val="62081046"/>
    <w:multiLevelType w:val="multilevel"/>
    <w:tmpl w:val="DBF25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1A0B42"/>
    <w:multiLevelType w:val="multilevel"/>
    <w:tmpl w:val="12A007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9610D2"/>
    <w:multiLevelType w:val="multilevel"/>
    <w:tmpl w:val="0B447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AA1F21"/>
    <w:multiLevelType w:val="multilevel"/>
    <w:tmpl w:val="FC9C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0F3787"/>
    <w:multiLevelType w:val="multilevel"/>
    <w:tmpl w:val="E0FCB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0533A"/>
    <w:multiLevelType w:val="multilevel"/>
    <w:tmpl w:val="24F426DC"/>
    <w:lvl w:ilvl="0">
      <w:start w:val="1"/>
      <w:numFmt w:val="decimal"/>
      <w:lvlText w:val="%1."/>
      <w:lvlJc w:val="left"/>
      <w:pPr>
        <w:ind w:left="927" w:hanging="360"/>
      </w:pPr>
      <w:rPr>
        <w:rFonts w:hint="default"/>
        <w:b/>
      </w:rPr>
    </w:lvl>
    <w:lvl w:ilvl="1">
      <w:start w:val="1"/>
      <w:numFmt w:val="decimal"/>
      <w:isLgl/>
      <w:lvlText w:val="%1.%2."/>
      <w:lvlJc w:val="left"/>
      <w:pPr>
        <w:ind w:left="1713" w:hanging="720"/>
      </w:pPr>
      <w:rPr>
        <w:rFonts w:hint="default"/>
        <w:b/>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34" w15:restartNumberingAfterBreak="0">
    <w:nsid w:val="75005B68"/>
    <w:multiLevelType w:val="multilevel"/>
    <w:tmpl w:val="D09A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661321"/>
    <w:multiLevelType w:val="multilevel"/>
    <w:tmpl w:val="1F9E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3F3934"/>
    <w:multiLevelType w:val="multilevel"/>
    <w:tmpl w:val="67EA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C80089"/>
    <w:multiLevelType w:val="multilevel"/>
    <w:tmpl w:val="49E406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656A12"/>
    <w:multiLevelType w:val="multilevel"/>
    <w:tmpl w:val="E28A8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A9588B"/>
    <w:multiLevelType w:val="multilevel"/>
    <w:tmpl w:val="2574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3"/>
  </w:num>
  <w:num w:numId="3">
    <w:abstractNumId w:val="11"/>
  </w:num>
  <w:num w:numId="4">
    <w:abstractNumId w:val="13"/>
  </w:num>
  <w:num w:numId="5">
    <w:abstractNumId w:val="21"/>
  </w:num>
  <w:num w:numId="6">
    <w:abstractNumId w:val="20"/>
  </w:num>
  <w:num w:numId="7">
    <w:abstractNumId w:val="26"/>
  </w:num>
  <w:num w:numId="8">
    <w:abstractNumId w:val="0"/>
  </w:num>
  <w:num w:numId="9">
    <w:abstractNumId w:val="23"/>
  </w:num>
  <w:num w:numId="10">
    <w:abstractNumId w:val="1"/>
  </w:num>
  <w:num w:numId="11">
    <w:abstractNumId w:val="8"/>
  </w:num>
  <w:num w:numId="12">
    <w:abstractNumId w:val="16"/>
  </w:num>
  <w:num w:numId="13">
    <w:abstractNumId w:val="33"/>
  </w:num>
  <w:num w:numId="14">
    <w:abstractNumId w:val="17"/>
  </w:num>
  <w:num w:numId="15">
    <w:abstractNumId w:val="39"/>
  </w:num>
  <w:num w:numId="16">
    <w:abstractNumId w:val="27"/>
  </w:num>
  <w:num w:numId="17">
    <w:abstractNumId w:val="28"/>
  </w:num>
  <w:num w:numId="18">
    <w:abstractNumId w:val="25"/>
  </w:num>
  <w:num w:numId="19">
    <w:abstractNumId w:val="37"/>
  </w:num>
  <w:num w:numId="20">
    <w:abstractNumId w:val="14"/>
  </w:num>
  <w:num w:numId="21">
    <w:abstractNumId w:val="19"/>
  </w:num>
  <w:num w:numId="22">
    <w:abstractNumId w:val="15"/>
  </w:num>
  <w:num w:numId="23">
    <w:abstractNumId w:val="34"/>
  </w:num>
  <w:num w:numId="24">
    <w:abstractNumId w:val="29"/>
  </w:num>
  <w:num w:numId="25">
    <w:abstractNumId w:val="24"/>
  </w:num>
  <w:num w:numId="26">
    <w:abstractNumId w:val="30"/>
  </w:num>
  <w:num w:numId="27">
    <w:abstractNumId w:val="10"/>
  </w:num>
  <w:num w:numId="28">
    <w:abstractNumId w:val="18"/>
  </w:num>
  <w:num w:numId="29">
    <w:abstractNumId w:val="31"/>
  </w:num>
  <w:num w:numId="30">
    <w:abstractNumId w:val="38"/>
  </w:num>
  <w:num w:numId="31">
    <w:abstractNumId w:val="22"/>
  </w:num>
  <w:num w:numId="32">
    <w:abstractNumId w:val="7"/>
  </w:num>
  <w:num w:numId="33">
    <w:abstractNumId w:val="9"/>
  </w:num>
  <w:num w:numId="34">
    <w:abstractNumId w:val="12"/>
  </w:num>
  <w:num w:numId="35">
    <w:abstractNumId w:val="36"/>
  </w:num>
  <w:num w:numId="36">
    <w:abstractNumId w:val="5"/>
  </w:num>
  <w:num w:numId="37">
    <w:abstractNumId w:val="2"/>
  </w:num>
  <w:num w:numId="38">
    <w:abstractNumId w:val="4"/>
  </w:num>
  <w:num w:numId="39">
    <w:abstractNumId w:val="3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revisionView w:inkAnnotations="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pPr>
      <w:keepNext/>
      <w:outlineLvl w:val="0"/>
    </w:pPr>
    <w:rPr>
      <w:b/>
      <w:bCs/>
      <w:kern w:val="32"/>
      <w:szCs w:val="32"/>
      <w:lang w:val="x-none" w:eastAsia="x-none"/>
    </w:rPr>
  </w:style>
  <w:style w:type="paragraph" w:styleId="Heading2">
    <w:name w:val="heading 2"/>
    <w:basedOn w:val="Normal"/>
    <w:next w:val="Normal"/>
    <w:link w:val="Heading2Char"/>
    <w:autoRedefine/>
    <w:uiPriority w:val="9"/>
    <w:qFormat/>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uiPriority w:val="9"/>
    <w:qFormat/>
    <w:pPr>
      <w:keepNext/>
      <w:outlineLvl w:val="2"/>
    </w:pPr>
    <w:rPr>
      <w:b/>
      <w:bCs/>
      <w:i/>
      <w:szCs w:val="26"/>
      <w:lang w:val="x-none" w:eastAsia="x-none"/>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uiPriority w:val="9"/>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uiPriority w:val="9"/>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Pr>
      <w:rFonts w:ascii="Calibri" w:eastAsia="Times New Roman" w:hAnsi="Calibri" w:cs="Times New Roman"/>
      <w:b/>
      <w:bCs/>
      <w:i/>
      <w:iCs/>
      <w:sz w:val="26"/>
      <w:szCs w:val="26"/>
      <w:lang w:val="x-none" w:eastAsia="x-none"/>
    </w:rPr>
  </w:style>
  <w:style w:type="table" w:styleId="TableGrid">
    <w:name w:val="Table Grid"/>
    <w:basedOn w:val="TableNormal"/>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rPr>
      <w:sz w:val="24"/>
      <w:lang w:val="x-none" w:eastAsia="x-none"/>
    </w:rPr>
  </w:style>
  <w:style w:type="character" w:customStyle="1" w:styleId="HeaderChar">
    <w:name w:val="Header Char"/>
    <w:link w:val="Header"/>
    <w:uiPriority w:val="99"/>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pPr>
      <w:tabs>
        <w:tab w:val="center" w:pos="4680"/>
        <w:tab w:val="right" w:pos="9360"/>
      </w:tabs>
    </w:pPr>
    <w:rPr>
      <w:sz w:val="24"/>
      <w:lang w:val="x-none" w:eastAsia="x-none"/>
    </w:rPr>
  </w:style>
  <w:style w:type="character" w:customStyle="1" w:styleId="FooterChar">
    <w:name w:val="Footer Char"/>
    <w:link w:val="Footer"/>
    <w:uiPriority w:val="99"/>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pPr>
      <w:spacing w:after="160" w:line="240" w:lineRule="exact"/>
    </w:pPr>
    <w:rPr>
      <w:szCs w:val="22"/>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customStyle="1" w:styleId="BalloonTextChar">
    <w:name w:val="Balloon Text Char"/>
    <w:link w:val="BalloonText"/>
    <w:uiPriority w:val="99"/>
    <w:semiHidden/>
    <w:rPr>
      <w:rFonts w:ascii="Tahoma" w:eastAsia="Times New Roman" w:hAnsi="Tahoma" w:cs="Times New Roman"/>
      <w:sz w:val="16"/>
      <w:szCs w:val="16"/>
      <w:lang w:val="x-none" w:eastAsia="x-none"/>
    </w:rPr>
  </w:style>
  <w:style w:type="character" w:styleId="Hyperlink">
    <w:name w:val="Hyperlink"/>
    <w:rPr>
      <w:color w:val="0000FF"/>
      <w:u w:val="single"/>
    </w:rPr>
  </w:style>
  <w:style w:type="paragraph" w:styleId="BodyTextIndent">
    <w:name w:val="Body Text Indent"/>
    <w:basedOn w:val="Normal"/>
    <w:link w:val="BodyTextIndentChar"/>
    <w:pPr>
      <w:ind w:left="283"/>
    </w:pPr>
    <w:rPr>
      <w:sz w:val="24"/>
      <w:lang w:val="x-none" w:eastAsia="x-none"/>
    </w:rPr>
  </w:style>
  <w:style w:type="character" w:customStyle="1" w:styleId="BodyTextIndentChar">
    <w:name w:val="Body Text Indent Char"/>
    <w:link w:val="BodyTextIndent"/>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pPr>
      <w:spacing w:before="100" w:beforeAutospacing="1" w:after="100" w:afterAutospacing="1"/>
    </w:pPr>
  </w:style>
  <w:style w:type="paragraph" w:styleId="BodyTextIndent3">
    <w:name w:val="Body Text Indent 3"/>
    <w:basedOn w:val="Normal"/>
    <w:link w:val="BodyTextIndent3Char"/>
    <w:pPr>
      <w:ind w:left="360"/>
    </w:pPr>
    <w:rPr>
      <w:sz w:val="16"/>
      <w:szCs w:val="16"/>
      <w:lang w:val="x-none" w:eastAsia="x-none"/>
    </w:rPr>
  </w:style>
  <w:style w:type="character" w:customStyle="1" w:styleId="BodyTextIndent3Char">
    <w:name w:val="Body Text Indent 3 Char"/>
    <w:link w:val="BodyTextIndent3"/>
    <w:rPr>
      <w:rFonts w:ascii="Times New Roman" w:eastAsia="Times New Roman" w:hAnsi="Times New Roman" w:cs="Times New Roman"/>
      <w:sz w:val="16"/>
      <w:szCs w:val="16"/>
      <w:lang w:val="x-none" w:eastAsia="x-none"/>
    </w:rPr>
  </w:style>
  <w:style w:type="paragraph" w:styleId="Caption">
    <w:name w:val="caption"/>
    <w:basedOn w:val="Normal"/>
    <w:next w:val="Normal"/>
    <w:qFormat/>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Pr>
      <w:vertAlign w:val="superscript"/>
    </w:rPr>
  </w:style>
  <w:style w:type="character" w:styleId="Strong">
    <w:name w:val="Strong"/>
    <w:uiPriority w:val="22"/>
    <w:qFormat/>
    <w:rPr>
      <w:b/>
      <w:bCs/>
    </w:rPr>
  </w:style>
  <w:style w:type="paragraph" w:styleId="BodyText">
    <w:name w:val="Body Text"/>
    <w:basedOn w:val="Normal"/>
    <w:link w:val="BodyTextChar"/>
    <w:rPr>
      <w:lang w:val="x-none" w:eastAsia="x-none"/>
    </w:rPr>
  </w:style>
  <w:style w:type="character" w:customStyle="1" w:styleId="BodyTextChar">
    <w:name w:val="Body Text Char"/>
    <w:link w:val="BodyText"/>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Pr>
      <w:rFonts w:ascii="Times New Roman" w:eastAsia="Times New Roman" w:hAnsi="Times New Roman"/>
      <w:sz w:val="28"/>
      <w:szCs w:val="24"/>
    </w:rPr>
  </w:style>
  <w:style w:type="paragraph" w:styleId="ListParagraph">
    <w:name w:val="List Paragraph"/>
    <w:basedOn w:val="Normal"/>
    <w:uiPriority w:val="1"/>
    <w:qFormat/>
    <w:pPr>
      <w:ind w:left="720"/>
      <w:contextualSpacing/>
    </w:pPr>
  </w:style>
  <w:style w:type="paragraph" w:customStyle="1" w:styleId="n-dieund-p">
    <w:name w:val="n-dieund-p"/>
    <w:basedOn w:val="Normal"/>
    <w:pPr>
      <w:spacing w:before="0" w:after="0"/>
      <w:ind w:firstLine="0"/>
    </w:pPr>
    <w:rPr>
      <w:sz w:val="20"/>
      <w:szCs w:val="20"/>
    </w:rPr>
  </w:style>
  <w:style w:type="character" w:styleId="UnresolvedMention">
    <w:name w:val="Unresolved Mention"/>
    <w:basedOn w:val="DefaultParagraphFont"/>
    <w:uiPriority w:val="99"/>
    <w:rPr>
      <w:color w:val="605E5C"/>
      <w:shd w:val="clear" w:color="auto" w:fill="E1DFDD"/>
    </w:rPr>
  </w:style>
  <w:style w:type="paragraph" w:customStyle="1" w:styleId="Char2">
    <w:name w:val="Char2"/>
    <w:basedOn w:val="Normal"/>
    <w:autoRedefine/>
    <w:uiPriority w:val="99"/>
    <w:qFormat/>
    <w:pPr>
      <w:spacing w:before="0" w:after="0"/>
      <w:ind w:firstLine="0"/>
    </w:pPr>
    <w:rPr>
      <w:rFonts w:eastAsia="Calibri"/>
      <w:sz w:val="20"/>
      <w:szCs w:val="20"/>
      <w:vertAlign w:val="superscript"/>
      <w:lang w:val="vi-VN" w:eastAsia="vi-VN"/>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sz w:val="28"/>
      <w:szCs w:val="24"/>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uiPriority w:val="99"/>
    <w:qFormat/>
    <w:pPr>
      <w:spacing w:before="0" w:after="160" w:line="240" w:lineRule="exact"/>
      <w:ind w:firstLine="0"/>
      <w:jc w:val="left"/>
    </w:pPr>
    <w:rPr>
      <w:rFonts w:ascii="Cambria" w:hAnsi="Cambria"/>
      <w:sz w:val="20"/>
      <w:szCs w:val="20"/>
      <w:vertAlign w:val="superscript"/>
      <w:lang w:val="x-none" w:eastAsia="x-none"/>
    </w:rPr>
  </w:style>
  <w:style w:type="character" w:customStyle="1" w:styleId="fontstyle01">
    <w:name w:val="fontstyle01"/>
    <w:basedOn w:val="DefaultParagraphFont"/>
    <w:rPr>
      <w:rFonts w:ascii="TimesNewRomanPS-BoldMT" w:hAnsi="TimesNewRomanPS-BoldMT" w:hint="default"/>
      <w:b/>
      <w:bCs/>
      <w:i w:val="0"/>
      <w:iCs w:val="0"/>
      <w:color w:val="000000"/>
      <w:sz w:val="28"/>
      <w:szCs w:val="28"/>
    </w:rPr>
  </w:style>
  <w:style w:type="character" w:customStyle="1" w:styleId="fontstyle21">
    <w:name w:val="fontstyle21"/>
    <w:basedOn w:val="DefaultParagraphFont"/>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Pr>
      <w:rFonts w:ascii="TimesNewRomanPSMT" w:hAnsi="TimesNewRomanPSMT" w:hint="default"/>
      <w:b w:val="0"/>
      <w:bCs w:val="0"/>
      <w:i w:val="0"/>
      <w:iCs w:val="0"/>
      <w:color w:val="000000"/>
      <w:sz w:val="28"/>
      <w:szCs w:val="28"/>
    </w:rPr>
  </w:style>
  <w:style w:type="character" w:customStyle="1" w:styleId="ng-star-inserted">
    <w:name w:val="ng-star-inserted"/>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0803">
      <w:bodyDiv w:val="1"/>
      <w:marLeft w:val="0"/>
      <w:marRight w:val="0"/>
      <w:marTop w:val="0"/>
      <w:marBottom w:val="0"/>
      <w:divBdr>
        <w:top w:val="none" w:sz="0" w:space="0" w:color="auto"/>
        <w:left w:val="none" w:sz="0" w:space="0" w:color="auto"/>
        <w:bottom w:val="none" w:sz="0" w:space="0" w:color="auto"/>
        <w:right w:val="none" w:sz="0" w:space="0" w:color="auto"/>
      </w:divBdr>
      <w:divsChild>
        <w:div w:id="1734887043">
          <w:marLeft w:val="0"/>
          <w:marRight w:val="0"/>
          <w:marTop w:val="0"/>
          <w:marBottom w:val="0"/>
          <w:divBdr>
            <w:top w:val="none" w:sz="0" w:space="0" w:color="auto"/>
            <w:left w:val="none" w:sz="0" w:space="0" w:color="auto"/>
            <w:bottom w:val="none" w:sz="0" w:space="0" w:color="auto"/>
            <w:right w:val="none" w:sz="0" w:space="0" w:color="auto"/>
          </w:divBdr>
        </w:div>
        <w:div w:id="604653026">
          <w:marLeft w:val="0"/>
          <w:marRight w:val="0"/>
          <w:marTop w:val="0"/>
          <w:marBottom w:val="0"/>
          <w:divBdr>
            <w:top w:val="none" w:sz="0" w:space="0" w:color="auto"/>
            <w:left w:val="none" w:sz="0" w:space="0" w:color="auto"/>
            <w:bottom w:val="none" w:sz="0" w:space="0" w:color="auto"/>
            <w:right w:val="none" w:sz="0" w:space="0" w:color="auto"/>
          </w:divBdr>
        </w:div>
      </w:divsChild>
    </w:div>
    <w:div w:id="440104349">
      <w:bodyDiv w:val="1"/>
      <w:marLeft w:val="0"/>
      <w:marRight w:val="0"/>
      <w:marTop w:val="0"/>
      <w:marBottom w:val="0"/>
      <w:divBdr>
        <w:top w:val="none" w:sz="0" w:space="0" w:color="auto"/>
        <w:left w:val="none" w:sz="0" w:space="0" w:color="auto"/>
        <w:bottom w:val="none" w:sz="0" w:space="0" w:color="auto"/>
        <w:right w:val="none" w:sz="0" w:space="0" w:color="auto"/>
      </w:divBdr>
    </w:div>
    <w:div w:id="749011530">
      <w:bodyDiv w:val="1"/>
      <w:marLeft w:val="0"/>
      <w:marRight w:val="0"/>
      <w:marTop w:val="0"/>
      <w:marBottom w:val="0"/>
      <w:divBdr>
        <w:top w:val="none" w:sz="0" w:space="0" w:color="auto"/>
        <w:left w:val="none" w:sz="0" w:space="0" w:color="auto"/>
        <w:bottom w:val="none" w:sz="0" w:space="0" w:color="auto"/>
        <w:right w:val="none" w:sz="0" w:space="0" w:color="auto"/>
      </w:divBdr>
    </w:div>
    <w:div w:id="791435829">
      <w:bodyDiv w:val="1"/>
      <w:marLeft w:val="0"/>
      <w:marRight w:val="0"/>
      <w:marTop w:val="0"/>
      <w:marBottom w:val="0"/>
      <w:divBdr>
        <w:top w:val="none" w:sz="0" w:space="0" w:color="auto"/>
        <w:left w:val="none" w:sz="0" w:space="0" w:color="auto"/>
        <w:bottom w:val="none" w:sz="0" w:space="0" w:color="auto"/>
        <w:right w:val="none" w:sz="0" w:space="0" w:color="auto"/>
      </w:divBdr>
    </w:div>
    <w:div w:id="854808052">
      <w:bodyDiv w:val="1"/>
      <w:marLeft w:val="0"/>
      <w:marRight w:val="0"/>
      <w:marTop w:val="0"/>
      <w:marBottom w:val="0"/>
      <w:divBdr>
        <w:top w:val="none" w:sz="0" w:space="0" w:color="auto"/>
        <w:left w:val="none" w:sz="0" w:space="0" w:color="auto"/>
        <w:bottom w:val="none" w:sz="0" w:space="0" w:color="auto"/>
        <w:right w:val="none" w:sz="0" w:space="0" w:color="auto"/>
      </w:divBdr>
    </w:div>
    <w:div w:id="1056247379">
      <w:bodyDiv w:val="1"/>
      <w:marLeft w:val="0"/>
      <w:marRight w:val="0"/>
      <w:marTop w:val="0"/>
      <w:marBottom w:val="0"/>
      <w:divBdr>
        <w:top w:val="none" w:sz="0" w:space="0" w:color="auto"/>
        <w:left w:val="none" w:sz="0" w:space="0" w:color="auto"/>
        <w:bottom w:val="none" w:sz="0" w:space="0" w:color="auto"/>
        <w:right w:val="none" w:sz="0" w:space="0" w:color="auto"/>
      </w:divBdr>
      <w:divsChild>
        <w:div w:id="1873496620">
          <w:marLeft w:val="0"/>
          <w:marRight w:val="0"/>
          <w:marTop w:val="0"/>
          <w:marBottom w:val="0"/>
          <w:divBdr>
            <w:top w:val="none" w:sz="0" w:space="0" w:color="auto"/>
            <w:left w:val="none" w:sz="0" w:space="0" w:color="auto"/>
            <w:bottom w:val="none" w:sz="0" w:space="0" w:color="auto"/>
            <w:right w:val="none" w:sz="0" w:space="0" w:color="auto"/>
          </w:divBdr>
        </w:div>
        <w:div w:id="348414764">
          <w:marLeft w:val="0"/>
          <w:marRight w:val="0"/>
          <w:marTop w:val="0"/>
          <w:marBottom w:val="0"/>
          <w:divBdr>
            <w:top w:val="none" w:sz="0" w:space="0" w:color="auto"/>
            <w:left w:val="none" w:sz="0" w:space="0" w:color="auto"/>
            <w:bottom w:val="none" w:sz="0" w:space="0" w:color="auto"/>
            <w:right w:val="none" w:sz="0" w:space="0" w:color="auto"/>
          </w:divBdr>
        </w:div>
      </w:divsChild>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513716172">
      <w:bodyDiv w:val="1"/>
      <w:marLeft w:val="0"/>
      <w:marRight w:val="0"/>
      <w:marTop w:val="0"/>
      <w:marBottom w:val="0"/>
      <w:divBdr>
        <w:top w:val="none" w:sz="0" w:space="0" w:color="auto"/>
        <w:left w:val="none" w:sz="0" w:space="0" w:color="auto"/>
        <w:bottom w:val="none" w:sz="0" w:space="0" w:color="auto"/>
        <w:right w:val="none" w:sz="0" w:space="0" w:color="auto"/>
      </w:divBdr>
    </w:div>
    <w:div w:id="1743093022">
      <w:bodyDiv w:val="1"/>
      <w:marLeft w:val="0"/>
      <w:marRight w:val="0"/>
      <w:marTop w:val="0"/>
      <w:marBottom w:val="0"/>
      <w:divBdr>
        <w:top w:val="none" w:sz="0" w:space="0" w:color="auto"/>
        <w:left w:val="none" w:sz="0" w:space="0" w:color="auto"/>
        <w:bottom w:val="none" w:sz="0" w:space="0" w:color="auto"/>
        <w:right w:val="none" w:sz="0" w:space="0" w:color="auto"/>
      </w:divBdr>
    </w:div>
    <w:div w:id="1797750503">
      <w:bodyDiv w:val="1"/>
      <w:marLeft w:val="0"/>
      <w:marRight w:val="0"/>
      <w:marTop w:val="0"/>
      <w:marBottom w:val="0"/>
      <w:divBdr>
        <w:top w:val="none" w:sz="0" w:space="0" w:color="auto"/>
        <w:left w:val="none" w:sz="0" w:space="0" w:color="auto"/>
        <w:bottom w:val="none" w:sz="0" w:space="0" w:color="auto"/>
        <w:right w:val="none" w:sz="0" w:space="0" w:color="auto"/>
      </w:divBdr>
    </w:div>
    <w:div w:id="2106420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tai-chinh-nha-nuoc/quyet-dinh-07-2022-qd-ttg-von-ngan-sach-chuong-trinh-muc-tieu-xay-dung-nong-thon-moi-50800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88473-5DC1-423C-8E5F-ACD77D2569D3}">
  <ds:schemaRefs>
    <ds:schemaRef ds:uri="http://schemas.openxmlformats.org/officeDocument/2006/bibliography"/>
  </ds:schemaRefs>
</ds:datastoreItem>
</file>

<file path=customXml/itemProps2.xml><?xml version="1.0" encoding="utf-8"?>
<ds:datastoreItem xmlns:ds="http://schemas.openxmlformats.org/officeDocument/2006/customXml" ds:itemID="{83D05E92-68A4-4EF9-A12E-238E2947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23</Pages>
  <Words>8887</Words>
  <Characters>50661</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Administrator</cp:lastModifiedBy>
  <cp:revision>84</cp:revision>
  <cp:lastPrinted>2022-02-27T09:33:00Z</cp:lastPrinted>
  <dcterms:created xsi:type="dcterms:W3CDTF">2025-12-10T06:09:00Z</dcterms:created>
  <dcterms:modified xsi:type="dcterms:W3CDTF">2026-05-19T10:48:00Z</dcterms:modified>
</cp:coreProperties>
</file>