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72" w:type="dxa"/>
        <w:jc w:val="center"/>
        <w:tblLook w:val="01E0" w:firstRow="1" w:lastRow="1" w:firstColumn="1" w:lastColumn="1" w:noHBand="0" w:noVBand="0"/>
      </w:tblPr>
      <w:tblGrid>
        <w:gridCol w:w="6946"/>
        <w:gridCol w:w="7626"/>
      </w:tblGrid>
      <w:tr>
        <w:trPr>
          <w:trHeight w:val="863"/>
          <w:jc w:val="center"/>
        </w:trPr>
        <w:tc>
          <w:tcPr>
            <w:tcW w:w="6946" w:type="dxa"/>
          </w:tcPr>
          <w:p>
            <w:pPr>
              <w:spacing w:before="0" w:after="0"/>
              <w:ind w:firstLine="0"/>
              <w:jc w:val="center"/>
              <w:rPr>
                <w:color w:val="000000" w:themeColor="text1"/>
                <w:sz w:val="26"/>
              </w:rPr>
            </w:pPr>
            <w:r>
              <w:rPr>
                <w:color w:val="000000" w:themeColor="text1"/>
                <w:sz w:val="26"/>
              </w:rPr>
              <w:t xml:space="preserve">UỶ BAN NHÂN DÂN </w:t>
            </w:r>
          </w:p>
          <w:p>
            <w:pPr>
              <w:spacing w:before="0" w:after="0"/>
              <w:ind w:firstLine="0"/>
              <w:jc w:val="center"/>
              <w:rPr>
                <w:color w:val="000000" w:themeColor="text1"/>
                <w:sz w:val="26"/>
              </w:rPr>
            </w:pPr>
            <w:r>
              <w:rPr>
                <w:color w:val="000000" w:themeColor="text1"/>
                <w:sz w:val="26"/>
              </w:rPr>
              <w:t>TỈNH THANH HOÁ</w:t>
            </w:r>
          </w:p>
          <w:p>
            <w:pPr>
              <w:spacing w:before="0" w:after="0"/>
              <w:ind w:firstLine="0"/>
              <w:jc w:val="center"/>
              <w:rPr>
                <w:b/>
                <w:bCs/>
                <w:color w:val="000000" w:themeColor="text1"/>
              </w:rPr>
            </w:pPr>
            <w:r>
              <w:rPr>
                <w:noProof/>
                <w:color w:val="000000" w:themeColor="text1"/>
                <w:sz w:val="26"/>
              </w:rPr>
              <mc:AlternateContent>
                <mc:Choice Requires="wps">
                  <w:drawing>
                    <wp:anchor distT="0" distB="0" distL="114300" distR="114300" simplePos="0" relativeHeight="251672064" behindDoc="0" locked="0" layoutInCell="1" allowOverlap="1">
                      <wp:simplePos x="0" y="0"/>
                      <wp:positionH relativeFrom="column">
                        <wp:posOffset>1461770</wp:posOffset>
                      </wp:positionH>
                      <wp:positionV relativeFrom="paragraph">
                        <wp:posOffset>191770</wp:posOffset>
                      </wp:positionV>
                      <wp:extent cx="1192530" cy="0"/>
                      <wp:effectExtent l="0" t="0" r="0" b="0"/>
                      <wp:wrapNone/>
                      <wp:docPr id="253296349" name="Straight Connector 5"/>
                      <wp:cNvGraphicFramePr/>
                      <a:graphic xmlns:a="http://schemas.openxmlformats.org/drawingml/2006/main">
                        <a:graphicData uri="http://schemas.microsoft.com/office/word/2010/wordprocessingShape">
                          <wps:wsp>
                            <wps:cNvCnPr/>
                            <wps:spPr>
                              <a:xfrm>
                                <a:off x="0" y="0"/>
                                <a:ext cx="11925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9535630" id="Straight Connector 5" o:spid="_x0000_s1026" style="position:absolute;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1pt,15.1pt" to="20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" strokecolor="#4472c4 [3204]" strokeweight=".5pt">
                      <v:stroke joinstyle="miter"/>
                    </v:line>
                  </w:pict>
                </mc:Fallback>
              </mc:AlternateContent>
            </w:r>
            <w:r>
              <w:rPr>
                <w:b/>
                <w:bCs/>
                <w:color w:val="000000" w:themeColor="text1"/>
                <w:sz w:val="26"/>
              </w:rPr>
              <w:t>SỞ NÔNG NGHIỆP VÀ MÔI TRƯỜNG</w:t>
            </w:r>
          </w:p>
        </w:tc>
        <w:tc>
          <w:tcPr>
            <w:tcW w:w="7626" w:type="dxa"/>
          </w:tcPr>
          <w:p>
            <w:pPr>
              <w:spacing w:before="0" w:after="0"/>
              <w:ind w:firstLine="0"/>
              <w:jc w:val="center"/>
              <w:rPr>
                <w:b/>
                <w:color w:val="000000" w:themeColor="text1"/>
                <w:sz w:val="26"/>
                <w:szCs w:val="28"/>
              </w:rPr>
            </w:pPr>
            <w:r>
              <w:rPr>
                <w:b/>
                <w:color w:val="000000" w:themeColor="text1"/>
                <w:sz w:val="26"/>
                <w:szCs w:val="28"/>
              </w:rPr>
              <w:t>CỘNG HÒA XÃ HỘI CHỦ NGHĨA VIỆT NAM</w:t>
            </w:r>
          </w:p>
          <w:p>
            <w:pPr>
              <w:spacing w:before="0" w:after="0"/>
              <w:ind w:firstLine="0"/>
              <w:jc w:val="center"/>
              <w:rPr>
                <w:i/>
                <w:color w:val="000000" w:themeColor="text1"/>
                <w:szCs w:val="28"/>
              </w:rPr>
            </w:pPr>
            <w:r>
              <w:rPr>
                <w:noProof/>
                <w:color w:val="000000" w:themeColor="text1"/>
              </w:rPr>
              <mc:AlternateContent>
                <mc:Choice Requires="wps">
                  <w:drawing>
                    <wp:anchor distT="4294967293" distB="4294967293" distL="114300" distR="114300" simplePos="0" relativeHeight="251670016" behindDoc="0" locked="0" layoutInCell="1" allowOverlap="1">
                      <wp:simplePos x="0" y="0"/>
                      <wp:positionH relativeFrom="column">
                        <wp:posOffset>1287145</wp:posOffset>
                      </wp:positionH>
                      <wp:positionV relativeFrom="paragraph">
                        <wp:posOffset>241935</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9C605E8" id="_x0000_t32" coordsize="21600,21600" o:spt="32" o:oned="t" path="m,l21600,21600e" filled="f">
                      <v:path arrowok="t" fillok="f" o:connecttype="none"/>
                      <o:lock v:ext="edit" shapetype="t"/>
                    </v:shapetype>
                    <v:shape id="Straight Arrow Connector 2" o:spid="_x0000_s1026" type="#_x0000_t32" style="position:absolute;margin-left:101.35pt;margin-top:19.05pt;width:167.15pt;height:0;z-index:2516700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"/>
                  </w:pict>
                </mc:Fallback>
              </mc:AlternateContent>
            </w:r>
            <w:r>
              <w:rPr>
                <w:b/>
                <w:color w:val="000000" w:themeColor="text1"/>
                <w:szCs w:val="28"/>
              </w:rPr>
              <w:t>Độc lập - Tự do - Hạnh phúc</w:t>
            </w:r>
          </w:p>
        </w:tc>
      </w:tr>
      <w:tr>
        <w:trPr>
          <w:trHeight w:val="49"/>
          <w:jc w:val="center"/>
        </w:trPr>
        <w:tc>
          <w:tcPr>
            <w:tcW w:w="6946" w:type="dxa"/>
          </w:tcPr>
          <w:p>
            <w:pPr>
              <w:spacing w:before="0" w:after="0"/>
              <w:ind w:firstLine="0"/>
              <w:jc w:val="center"/>
              <w:rPr>
                <w:color w:val="000000" w:themeColor="text1"/>
                <w:sz w:val="26"/>
              </w:rPr>
            </w:pPr>
          </w:p>
        </w:tc>
        <w:tc>
          <w:tcPr>
            <w:tcW w:w="7626" w:type="dxa"/>
          </w:tcPr>
          <w:p>
            <w:pPr>
              <w:tabs>
                <w:tab w:val="right" w:pos="5581"/>
              </w:tabs>
              <w:spacing w:before="0" w:after="0"/>
              <w:ind w:firstLine="0"/>
              <w:jc w:val="center"/>
              <w:rPr>
                <w:b/>
                <w:color w:val="000000" w:themeColor="text1"/>
                <w:sz w:val="26"/>
                <w:szCs w:val="28"/>
              </w:rPr>
            </w:pPr>
            <w:r>
              <w:rPr>
                <w:i/>
                <w:color w:val="000000" w:themeColor="text1"/>
                <w:szCs w:val="28"/>
              </w:rPr>
              <w:t>Thanh Hoá</w:t>
            </w:r>
            <w:bookmarkStart w:id="0" w:name="_GoBack"/>
            <w:bookmarkEnd w:id="0"/>
            <w:r>
              <w:rPr>
                <w:i/>
                <w:color w:val="000000" w:themeColor="text1"/>
                <w:szCs w:val="28"/>
              </w:rPr>
              <w:t>, ngày</w:t>
            </w:r>
            <w:r>
              <w:rPr>
                <w:iCs/>
                <w:color w:val="000000" w:themeColor="text1"/>
                <w:szCs w:val="28"/>
              </w:rPr>
              <w:t xml:space="preserve">       </w:t>
            </w:r>
            <w:r>
              <w:rPr>
                <w:bCs/>
                <w:iCs/>
                <w:color w:val="000000" w:themeColor="text1"/>
                <w:szCs w:val="28"/>
              </w:rPr>
              <w:t xml:space="preserve">  </w:t>
            </w:r>
            <w:r>
              <w:rPr>
                <w:i/>
                <w:color w:val="000000" w:themeColor="text1"/>
                <w:szCs w:val="28"/>
              </w:rPr>
              <w:t>tháng         năm 2026</w:t>
            </w:r>
          </w:p>
        </w:tc>
      </w:tr>
    </w:tbl>
    <w:p>
      <w:pPr>
        <w:tabs>
          <w:tab w:val="center" w:pos="0"/>
          <w:tab w:val="left" w:pos="709"/>
          <w:tab w:val="left" w:pos="6810"/>
        </w:tabs>
        <w:spacing w:before="0" w:after="0"/>
        <w:ind w:firstLine="0"/>
        <w:jc w:val="center"/>
        <w:rPr>
          <w:b/>
          <w:color w:val="000000" w:themeColor="text1"/>
          <w:szCs w:val="28"/>
        </w:rPr>
      </w:pPr>
      <w:r>
        <w:rPr>
          <w:b/>
          <w:noProof/>
          <w:color w:val="000000" w:themeColor="text1"/>
          <w:szCs w:val="28"/>
        </w:rPr>
        <mc:AlternateContent>
          <mc:Choice Requires="wps">
            <w:drawing>
              <wp:anchor distT="0" distB="0" distL="114300" distR="114300" simplePos="0" relativeHeight="251673088" behindDoc="0" locked="0" layoutInCell="1" allowOverlap="1">
                <wp:simplePos x="0" y="0"/>
                <wp:positionH relativeFrom="column">
                  <wp:posOffset>41910</wp:posOffset>
                </wp:positionH>
                <wp:positionV relativeFrom="paragraph">
                  <wp:posOffset>45085</wp:posOffset>
                </wp:positionV>
                <wp:extent cx="1035050" cy="317500"/>
                <wp:effectExtent l="0" t="0" r="12700" b="25400"/>
                <wp:wrapNone/>
                <wp:docPr id="1847836784" name="Text Box 3"/>
                <wp:cNvGraphicFramePr/>
                <a:graphic xmlns:a="http://schemas.openxmlformats.org/drawingml/2006/main">
                  <a:graphicData uri="http://schemas.microsoft.com/office/word/2010/wordprocessingShape">
                    <wps:wsp>
                      <wps:cNvSpPr txBox="1"/>
                      <wps:spPr>
                        <a:xfrm>
                          <a:off x="0" y="0"/>
                          <a:ext cx="1035050" cy="317500"/>
                        </a:xfrm>
                        <a:prstGeom prst="rect">
                          <a:avLst/>
                        </a:prstGeom>
                        <a:solidFill>
                          <a:schemeClr val="lt1"/>
                        </a:solidFill>
                        <a:ln w="6350">
                          <a:solidFill>
                            <a:prstClr val="black"/>
                          </a:solidFill>
                        </a:ln>
                      </wps:spPr>
                      <wps:txbx>
                        <w:txbxContent>
                          <w:p>
                            <w:pPr>
                              <w:spacing w:before="0" w:after="0"/>
                              <w:ind w:firstLine="0"/>
                              <w:rPr>
                                <w:b/>
                                <w:bCs/>
                              </w:rPr>
                            </w:pPr>
                            <w:r>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2B561EB8" id="_x0000_t202" coordsize="21600,21600" o:spt="202" path="m,l,21600r21600,l21600,xe">
                <v:stroke joinstyle="miter"/>
                <v:path gradientshapeok="t" o:connecttype="rect"/>
              </v:shapetype>
              <v:shape id="Text Box 3" o:spid="_x0000_s1026" type="#_x0000_t202" style="position:absolute;left:0;text-align:left;margin-left:3.3pt;margin-top:3.55pt;width:81.5pt;height:25pt;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" fillcolor="white [3201]" strokeweight=".5pt">
                <v:textbox>
                  <w:txbxContent>
                    <w:p w14:paraId="7FAC9577" w14:textId="69FE15D7" w:rsidR="00013F22" w:rsidRPr="00013F22" w:rsidRDefault="00013F22" w:rsidP="00013F22">
                      <w:pPr>
                        <w:spacing w:before="0" w:after="0"/>
                        <w:ind w:firstLine="0"/>
                        <w:rPr>
                          <w:b/>
                          <w:bCs/>
                        </w:rPr>
                      </w:pPr>
                      <w:r w:rsidRPr="00013F22">
                        <w:rPr>
                          <w:b/>
                          <w:bCs/>
                        </w:rPr>
                        <w:t>DỰ THẢO</w:t>
                      </w:r>
                    </w:p>
                  </w:txbxContent>
                </v:textbox>
              </v:shape>
            </w:pict>
          </mc:Fallback>
        </mc:AlternateContent>
      </w:r>
    </w:p>
    <w:p>
      <w:pPr>
        <w:tabs>
          <w:tab w:val="center" w:pos="0"/>
          <w:tab w:val="left" w:pos="709"/>
          <w:tab w:val="left" w:pos="6810"/>
        </w:tabs>
        <w:spacing w:before="0" w:after="0"/>
        <w:ind w:firstLine="0"/>
        <w:jc w:val="left"/>
        <w:rPr>
          <w:b/>
          <w:color w:val="000000" w:themeColor="text1"/>
          <w:szCs w:val="28"/>
        </w:rPr>
      </w:pPr>
    </w:p>
    <w:p>
      <w:pPr>
        <w:tabs>
          <w:tab w:val="center" w:pos="0"/>
          <w:tab w:val="left" w:pos="709"/>
          <w:tab w:val="left" w:pos="6810"/>
        </w:tabs>
        <w:spacing w:before="0" w:after="0"/>
        <w:ind w:firstLine="0"/>
        <w:jc w:val="center"/>
        <w:rPr>
          <w:b/>
          <w:color w:val="000000" w:themeColor="text1"/>
          <w:sz w:val="26"/>
          <w:szCs w:val="26"/>
        </w:rPr>
      </w:pPr>
      <w:r>
        <w:rPr>
          <w:b/>
          <w:bCs/>
          <w:color w:val="000000" w:themeColor="text1"/>
          <w:sz w:val="26"/>
          <w:szCs w:val="26"/>
        </w:rPr>
        <w:t>BẢN SO SÁNH, THUYẾT MINH DỰ THẢO NGHỊ QUYẾT CỦA HỘI ĐỒNG NHÂN DÂN TỈNH</w:t>
      </w:r>
      <w:r>
        <w:rPr>
          <w:b/>
          <w:color w:val="000000" w:themeColor="text1"/>
          <w:sz w:val="26"/>
          <w:szCs w:val="26"/>
        </w:rPr>
        <w:t xml:space="preserve"> </w:t>
      </w:r>
    </w:p>
    <w:p>
      <w:pPr>
        <w:tabs>
          <w:tab w:val="center" w:pos="0"/>
          <w:tab w:val="left" w:pos="709"/>
          <w:tab w:val="left" w:pos="6810"/>
        </w:tabs>
        <w:spacing w:before="0" w:after="0"/>
        <w:ind w:firstLine="0"/>
        <w:jc w:val="center"/>
        <w:rPr>
          <w:b/>
          <w:color w:val="000000" w:themeColor="text1"/>
          <w:sz w:val="26"/>
          <w:szCs w:val="26"/>
        </w:rPr>
      </w:pPr>
      <w:r>
        <w:rPr>
          <w:b/>
          <w:color w:val="000000" w:themeColor="text1"/>
          <w:sz w:val="26"/>
          <w:szCs w:val="26"/>
        </w:rPr>
        <w:t xml:space="preserve">QUY ĐỊNH NGUYÊN TẮC, TIÊU CHÍ, ĐỊNH MỨC PHÂN BỔ VỐN NGÂN SÁCH TRUNG ƯƠNG </w:t>
      </w:r>
    </w:p>
    <w:p>
      <w:pPr>
        <w:tabs>
          <w:tab w:val="center" w:pos="0"/>
          <w:tab w:val="left" w:pos="709"/>
          <w:tab w:val="left" w:pos="6810"/>
        </w:tabs>
        <w:spacing w:before="0" w:after="0"/>
        <w:ind w:firstLine="0"/>
        <w:jc w:val="center"/>
        <w:rPr>
          <w:b/>
          <w:color w:val="000000" w:themeColor="text1"/>
          <w:sz w:val="26"/>
          <w:szCs w:val="26"/>
        </w:rPr>
      </w:pPr>
      <w:r>
        <w:rPr>
          <w:b/>
          <w:color w:val="000000" w:themeColor="text1"/>
          <w:sz w:val="26"/>
          <w:szCs w:val="26"/>
        </w:rPr>
        <w:t xml:space="preserve">VÀ TỶ LỆ VỐN ĐỐI ỨNG CỦA NGÂN SÁCH ĐỊA PHƯƠNG THỰC HIỆN CHƯƠNG TRÌNH MỤC TIÊU QUỐC GIA </w:t>
      </w:r>
    </w:p>
    <w:p>
      <w:pPr>
        <w:tabs>
          <w:tab w:val="center" w:pos="0"/>
          <w:tab w:val="left" w:pos="709"/>
          <w:tab w:val="left" w:pos="6810"/>
        </w:tabs>
        <w:spacing w:before="0" w:after="0"/>
        <w:ind w:firstLine="0"/>
        <w:jc w:val="center"/>
        <w:rPr>
          <w:b/>
          <w:color w:val="000000" w:themeColor="text1"/>
          <w:sz w:val="26"/>
          <w:szCs w:val="26"/>
        </w:rPr>
      </w:pPr>
      <w:r>
        <w:rPr>
          <w:b/>
          <w:color w:val="000000" w:themeColor="text1"/>
          <w:sz w:val="26"/>
          <w:szCs w:val="26"/>
        </w:rPr>
        <w:t>XÂY DỰNG NÔNG THÔN MỚI, GIẢM NGHÈO BỀN VỮNG VÀ PHÁT TRIỂN KINH TẾ - XÃ HỘI VÙNG ĐỒNG BÀO</w:t>
      </w:r>
    </w:p>
    <w:p>
      <w:pPr>
        <w:tabs>
          <w:tab w:val="center" w:pos="0"/>
          <w:tab w:val="left" w:pos="709"/>
          <w:tab w:val="left" w:pos="6810"/>
        </w:tabs>
        <w:spacing w:before="0" w:after="0"/>
        <w:ind w:firstLine="0"/>
        <w:jc w:val="center"/>
        <w:rPr>
          <w:b/>
          <w:color w:val="000000" w:themeColor="text1"/>
          <w:sz w:val="26"/>
          <w:szCs w:val="26"/>
        </w:rPr>
      </w:pPr>
      <w:r>
        <w:rPr>
          <w:b/>
          <w:color w:val="000000" w:themeColor="text1"/>
          <w:sz w:val="26"/>
          <w:szCs w:val="26"/>
        </w:rPr>
        <w:t xml:space="preserve">DÂN TỘC THIỂU SỐ VÀ MIỀN NÚI TRÊN ĐỊA BÀN TỈNH THANH HOÁ, GIAI ĐOẠN 2026 - 2030  </w:t>
      </w:r>
    </w:p>
    <w:p>
      <w:pPr>
        <w:tabs>
          <w:tab w:val="center" w:pos="0"/>
          <w:tab w:val="left" w:pos="709"/>
          <w:tab w:val="left" w:pos="6810"/>
        </w:tabs>
        <w:spacing w:before="0" w:after="0"/>
        <w:ind w:firstLine="0"/>
        <w:jc w:val="center"/>
        <w:rPr>
          <w:b/>
          <w:color w:val="000000" w:themeColor="text1"/>
          <w:szCs w:val="28"/>
        </w:rPr>
      </w:pPr>
      <w:r>
        <w:rPr>
          <w:b/>
          <w:color w:val="000000" w:themeColor="text1"/>
          <w:sz w:val="26"/>
          <w:szCs w:val="26"/>
        </w:rPr>
        <w:t>VỚI QUY ĐỊNH PHÁP LUẬT HIỆN HÀNH</w:t>
      </w:r>
    </w:p>
    <w:p>
      <w:pPr>
        <w:spacing w:before="0" w:after="0"/>
        <w:ind w:firstLine="0"/>
        <w:rPr>
          <w:color w:val="000000" w:themeColor="text1"/>
        </w:rPr>
      </w:pPr>
    </w:p>
    <w:p>
      <w:pPr>
        <w:spacing w:before="0" w:after="0"/>
        <w:rPr>
          <w:color w:val="000000" w:themeColor="text1"/>
        </w:rPr>
      </w:pPr>
    </w:p>
    <w:tbl>
      <w:tblPr>
        <w:tblStyle w:val="TableGrid"/>
        <w:tblW w:w="14612" w:type="dxa"/>
        <w:jc w:val="center"/>
        <w:tblLook w:val="04A0" w:firstRow="1" w:lastRow="0" w:firstColumn="1" w:lastColumn="0" w:noHBand="0" w:noVBand="1"/>
      </w:tblPr>
      <w:tblGrid>
        <w:gridCol w:w="3397"/>
        <w:gridCol w:w="6096"/>
        <w:gridCol w:w="5119"/>
      </w:tblGrid>
      <w:tr>
        <w:trPr>
          <w:trHeight w:val="673"/>
          <w:tblHeader/>
          <w:jc w:val="center"/>
        </w:trPr>
        <w:tc>
          <w:tcPr>
            <w:tcW w:w="3397" w:type="dxa"/>
            <w:vAlign w:val="center"/>
          </w:tcPr>
          <w:p>
            <w:pPr>
              <w:tabs>
                <w:tab w:val="center" w:pos="0"/>
                <w:tab w:val="left" w:pos="4675"/>
                <w:tab w:val="left" w:pos="6810"/>
              </w:tabs>
              <w:ind w:firstLine="0"/>
              <w:jc w:val="center"/>
              <w:rPr>
                <w:b/>
                <w:bCs/>
                <w:color w:val="000000" w:themeColor="text1"/>
                <w:sz w:val="24"/>
              </w:rPr>
            </w:pPr>
            <w:r>
              <w:rPr>
                <w:b/>
                <w:bCs/>
                <w:color w:val="000000" w:themeColor="text1"/>
                <w:sz w:val="24"/>
              </w:rPr>
              <w:t>QUY PHẠM PHÁP LUẬT</w:t>
            </w:r>
          </w:p>
          <w:p>
            <w:pPr>
              <w:tabs>
                <w:tab w:val="center" w:pos="0"/>
                <w:tab w:val="left" w:pos="4675"/>
                <w:tab w:val="left" w:pos="6810"/>
              </w:tabs>
              <w:ind w:firstLine="0"/>
              <w:jc w:val="center"/>
              <w:rPr>
                <w:b/>
                <w:bCs/>
                <w:color w:val="000000" w:themeColor="text1"/>
                <w:sz w:val="24"/>
              </w:rPr>
            </w:pPr>
            <w:r>
              <w:rPr>
                <w:b/>
                <w:bCs/>
                <w:color w:val="000000" w:themeColor="text1"/>
                <w:sz w:val="24"/>
              </w:rPr>
              <w:t xml:space="preserve"> HIỆN HÀNH</w:t>
            </w:r>
          </w:p>
        </w:tc>
        <w:tc>
          <w:tcPr>
            <w:tcW w:w="6096" w:type="dxa"/>
            <w:vAlign w:val="center"/>
          </w:tcPr>
          <w:p>
            <w:pPr>
              <w:tabs>
                <w:tab w:val="center" w:pos="0"/>
                <w:tab w:val="left" w:pos="4675"/>
                <w:tab w:val="left" w:pos="6810"/>
              </w:tabs>
              <w:ind w:firstLine="0"/>
              <w:jc w:val="center"/>
              <w:rPr>
                <w:b/>
                <w:bCs/>
                <w:color w:val="000000" w:themeColor="text1"/>
                <w:sz w:val="24"/>
              </w:rPr>
            </w:pPr>
            <w:r>
              <w:rPr>
                <w:b/>
                <w:bCs/>
                <w:color w:val="000000" w:themeColor="text1"/>
                <w:sz w:val="24"/>
              </w:rPr>
              <w:t>DỰ THẢO VĂN BẢN</w:t>
            </w:r>
          </w:p>
        </w:tc>
        <w:tc>
          <w:tcPr>
            <w:tcW w:w="5119" w:type="dxa"/>
            <w:vAlign w:val="center"/>
          </w:tcPr>
          <w:p>
            <w:pPr>
              <w:tabs>
                <w:tab w:val="center" w:pos="0"/>
                <w:tab w:val="left" w:pos="4675"/>
                <w:tab w:val="left" w:pos="6810"/>
              </w:tabs>
              <w:ind w:firstLine="0"/>
              <w:jc w:val="center"/>
              <w:rPr>
                <w:b/>
                <w:bCs/>
                <w:color w:val="000000" w:themeColor="text1"/>
                <w:sz w:val="24"/>
              </w:rPr>
            </w:pPr>
            <w:r>
              <w:rPr>
                <w:b/>
                <w:bCs/>
                <w:color w:val="000000" w:themeColor="text1"/>
                <w:sz w:val="24"/>
              </w:rPr>
              <w:t>THUYẾT MINH</w:t>
            </w:r>
          </w:p>
        </w:tc>
      </w:tr>
      <w:tr>
        <w:trPr>
          <w:trHeight w:val="639"/>
          <w:jc w:val="center"/>
        </w:trPr>
        <w:tc>
          <w:tcPr>
            <w:tcW w:w="3397" w:type="dxa"/>
          </w:tcPr>
          <w:p>
            <w:pPr>
              <w:ind w:firstLine="0"/>
              <w:rPr>
                <w:color w:val="000000" w:themeColor="text1"/>
                <w:spacing w:val="-2"/>
                <w:sz w:val="24"/>
              </w:rPr>
            </w:pPr>
            <w:r>
              <w:rPr>
                <w:color w:val="000000" w:themeColor="text1"/>
                <w:spacing w:val="-2"/>
                <w:sz w:val="24"/>
              </w:rPr>
              <w:t xml:space="preserve">1. </w:t>
            </w:r>
            <w:r>
              <w:rPr>
                <w:b/>
                <w:bCs/>
                <w:color w:val="000000" w:themeColor="text1"/>
                <w:spacing w:val="-2"/>
                <w:sz w:val="24"/>
              </w:rPr>
              <w:t>Luật Tổ chức chính quyền địa phương số 72/2025/QH15:</w:t>
            </w:r>
            <w:r>
              <w:rPr>
                <w:color w:val="000000" w:themeColor="text1"/>
                <w:spacing w:val="-2"/>
                <w:sz w:val="24"/>
              </w:rPr>
              <w:t xml:space="preserve"> Quy định thẩm quyền của Hội đồng nhân dân tỉnh trong việc quyết định các biện pháp bảo đảm thực hiện nhiệm vụ phát triển kinh tế - xã hội địa phương.</w:t>
            </w:r>
          </w:p>
          <w:p>
            <w:pPr>
              <w:ind w:firstLine="0"/>
              <w:rPr>
                <w:color w:val="000000" w:themeColor="text1"/>
                <w:sz w:val="24"/>
              </w:rPr>
            </w:pPr>
            <w:r>
              <w:rPr>
                <w:color w:val="000000" w:themeColor="text1"/>
                <w:sz w:val="24"/>
              </w:rPr>
              <w:t xml:space="preserve">2. Tại </w:t>
            </w:r>
            <w:r>
              <w:rPr>
                <w:b/>
                <w:bCs/>
                <w:color w:val="000000" w:themeColor="text1"/>
                <w:sz w:val="24"/>
              </w:rPr>
              <w:t>Khoản 5 Điều 9 Quyết định số 16/2026/QĐ-TTg:</w:t>
            </w:r>
            <w:r>
              <w:rPr>
                <w:color w:val="000000" w:themeColor="text1"/>
                <w:sz w:val="24"/>
              </w:rPr>
              <w:t xml:space="preserve"> giao UBND các tỉnh, thành phố “Căn cứ điều kiện thực tế, nghiên cứu, xây dựng nguyên tắc, tiêu chí, định mức phân bổ ngân sách nhà nước thực hiện Chương trình giai </w:t>
            </w:r>
            <w:r>
              <w:rPr>
                <w:color w:val="000000" w:themeColor="text1"/>
                <w:sz w:val="24"/>
              </w:rPr>
              <w:lastRenderedPageBreak/>
              <w:t>đoạn 2026 - 2030 trình Hội đồng nhân dân cùng cấp quyết định.”.</w:t>
            </w:r>
          </w:p>
          <w:p>
            <w:pPr>
              <w:ind w:firstLine="0"/>
              <w:rPr>
                <w:rFonts w:eastAsia="Calibri"/>
                <w:sz w:val="24"/>
              </w:rPr>
            </w:pPr>
            <w:r>
              <w:rPr>
                <w:rFonts w:eastAsia="Calibri"/>
                <w:sz w:val="24"/>
              </w:rPr>
              <w:t>3. Căn cứ Nghị quyết số 257/2025/QH15 của Quốc hội: Phê duyệt chủ trương đầu tư Chương trình MTQG xây dựng nông thôn mới, giảm nghèo bền vững và phát triển KT-XH vùng đồng bào DTTS&amp;MN giai đoạn 2026-2035.</w:t>
            </w:r>
          </w:p>
          <w:p>
            <w:pPr>
              <w:ind w:firstLine="0"/>
              <w:rPr>
                <w:rFonts w:eastAsia="Calibri"/>
                <w:sz w:val="24"/>
              </w:rPr>
            </w:pPr>
            <w:r>
              <w:rPr>
                <w:rFonts w:eastAsia="Calibri"/>
                <w:sz w:val="24"/>
              </w:rPr>
              <w:t>4. Căn cứ Quyết định số 16/2026/QĐ-TTg ngày 15/4/2026 của Thủ tướng Chính phủ: Quy định nguyên tắc, tiêu chí, định mức phân bổ vốn NSTW và tỷ lệ đối ứng của NSĐP thực hiện các Chương trình MTQG giai đoạn 2026-2030.</w:t>
            </w:r>
          </w:p>
          <w:p>
            <w:pPr>
              <w:tabs>
                <w:tab w:val="center" w:pos="0"/>
                <w:tab w:val="left" w:pos="4675"/>
                <w:tab w:val="left" w:pos="6810"/>
              </w:tabs>
              <w:ind w:firstLine="0"/>
              <w:rPr>
                <w:bCs/>
                <w:color w:val="000000" w:themeColor="text1"/>
                <w:sz w:val="24"/>
              </w:rPr>
            </w:pPr>
            <w:r>
              <w:rPr>
                <w:bCs/>
                <w:color w:val="000000" w:themeColor="text1"/>
                <w:sz w:val="24"/>
              </w:rPr>
              <w:t>5. Căn cứ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tc>
        <w:tc>
          <w:tcPr>
            <w:tcW w:w="6096" w:type="dxa"/>
          </w:tcPr>
          <w:p>
            <w:pPr>
              <w:ind w:firstLine="0"/>
              <w:rPr>
                <w:color w:val="000000" w:themeColor="text1"/>
                <w:sz w:val="24"/>
              </w:rPr>
            </w:pPr>
            <w:r>
              <w:rPr>
                <w:color w:val="000000" w:themeColor="text1"/>
                <w:sz w:val="24"/>
              </w:rPr>
              <w:lastRenderedPageBreak/>
              <w:t xml:space="preserve">Dự thảo Nghị quyết của Hội đồng nhân dân tỉnh ban hành </w:t>
            </w:r>
            <w:r>
              <w:rPr>
                <w:sz w:val="24"/>
              </w:rPr>
              <w:t>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2026 - 2030</w:t>
            </w:r>
            <w:r>
              <w:rPr>
                <w:color w:val="000000" w:themeColor="text1"/>
                <w:sz w:val="24"/>
              </w:rPr>
              <w:t>, được bố cục thành 2 phần, phần 1 là Nghị quyết, phần 2 là Quy định với nội dung cụ thể như sau:</w:t>
            </w:r>
          </w:p>
          <w:p>
            <w:pPr>
              <w:ind w:firstLine="0"/>
              <w:rPr>
                <w:b/>
                <w:bCs/>
                <w:color w:val="000000" w:themeColor="text1"/>
                <w:sz w:val="24"/>
              </w:rPr>
            </w:pPr>
            <w:r>
              <w:rPr>
                <w:b/>
                <w:bCs/>
                <w:color w:val="000000" w:themeColor="text1"/>
                <w:sz w:val="24"/>
              </w:rPr>
              <w:t>NGHỊ QUYẾT</w:t>
            </w:r>
          </w:p>
          <w:p>
            <w:pPr>
              <w:pStyle w:val="NormalWeb"/>
              <w:shd w:val="clear" w:color="auto" w:fill="FFFFFF"/>
              <w:spacing w:before="120" w:beforeAutospacing="0" w:after="120" w:afterAutospacing="0" w:line="283" w:lineRule="auto"/>
              <w:ind w:right="140" w:firstLine="0"/>
              <w:rPr>
                <w:sz w:val="24"/>
              </w:rPr>
            </w:pPr>
            <w:r>
              <w:rPr>
                <w:b/>
                <w:bCs/>
                <w:sz w:val="24"/>
                <w:lang w:val="vi-VN"/>
              </w:rPr>
              <w:t>Điều 1.</w:t>
            </w:r>
            <w:r>
              <w:rPr>
                <w:sz w:val="24"/>
                <w:lang w:val="vi-VN"/>
              </w:rPr>
              <w:t> </w:t>
            </w:r>
            <w:r>
              <w:rPr>
                <w:sz w:val="24"/>
              </w:rPr>
              <w:t xml:space="preserve">Ban hành kèm theo Nghị quyết này </w:t>
            </w:r>
            <w:r>
              <w:rPr>
                <w:rFonts w:eastAsia="Calibri"/>
                <w:sz w:val="24"/>
              </w:rPr>
              <w:t xml:space="preserve">Quy định nguyên tắc, tiêu chí, định mức phân bổ vốn ngân sách trung ương và tỷ lệ vốn đối ứng của ngân sách địa phương thực hiện Chương trình mục tiêu quốc gia xây dựng nông thôn </w:t>
            </w:r>
            <w:r>
              <w:rPr>
                <w:rFonts w:eastAsia="Calibri"/>
                <w:sz w:val="24"/>
              </w:rPr>
              <w:lastRenderedPageBreak/>
              <w:t>mới, giảm nghèo bền vững và phát triển kinh tế -  xã hội vùng đồng bào dân tộc thiểu số và miền núi trên địa bàn tỉnh Thanh Hoá, giai đoạn 2026-2030.</w:t>
            </w:r>
          </w:p>
          <w:p>
            <w:pPr>
              <w:pStyle w:val="NormalWeb"/>
              <w:shd w:val="clear" w:color="auto" w:fill="FFFFFF"/>
              <w:spacing w:before="120" w:beforeAutospacing="0" w:after="120" w:afterAutospacing="0" w:line="283" w:lineRule="auto"/>
              <w:ind w:firstLine="0"/>
              <w:rPr>
                <w:sz w:val="24"/>
              </w:rPr>
            </w:pPr>
            <w:r>
              <w:rPr>
                <w:b/>
                <w:bCs/>
                <w:sz w:val="24"/>
                <w:lang w:val="vi-VN"/>
              </w:rPr>
              <w:t xml:space="preserve">Điều </w:t>
            </w:r>
            <w:r>
              <w:rPr>
                <w:b/>
                <w:bCs/>
                <w:sz w:val="24"/>
              </w:rPr>
              <w:t>2</w:t>
            </w:r>
            <w:r>
              <w:rPr>
                <w:b/>
                <w:bCs/>
                <w:sz w:val="24"/>
                <w:lang w:val="vi-VN"/>
              </w:rPr>
              <w:t>. Điều khoản thi hành</w:t>
            </w:r>
          </w:p>
          <w:p>
            <w:pPr>
              <w:pStyle w:val="NormalWeb"/>
              <w:shd w:val="clear" w:color="auto" w:fill="FFFFFF"/>
              <w:spacing w:before="120" w:beforeAutospacing="0" w:after="120" w:afterAutospacing="0" w:line="283" w:lineRule="auto"/>
              <w:ind w:firstLine="0"/>
              <w:rPr>
                <w:sz w:val="24"/>
              </w:rPr>
            </w:pPr>
            <w:r>
              <w:rPr>
                <w:sz w:val="24"/>
                <w:lang w:val="vi-VN"/>
              </w:rPr>
              <w:t xml:space="preserve">1. </w:t>
            </w:r>
            <w:r>
              <w:rPr>
                <w:sz w:val="24"/>
              </w:rPr>
              <w:t xml:space="preserve">Căn cứ </w:t>
            </w:r>
            <w:r>
              <w:rPr>
                <w:rFonts w:eastAsia="Calibri"/>
                <w:sz w:val="24"/>
              </w:rPr>
              <w:t xml:space="preserve">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 theo quy định trên, giao </w:t>
            </w:r>
            <w:r>
              <w:rPr>
                <w:sz w:val="24"/>
              </w:rPr>
              <w:t>Uỷ ban nhân dân tỉnh tổ chức triển khai thực hiện Nghị quyết hiệu quả, đúng quy định; định kỳ tổng hợp báo cáo Chính phủ, các Bộ, ngành Trung ương, Tỉnh uỷ, Hội đồng nhân dân tỉnh kết quả thực hiện Chương trình theo quy định</w:t>
            </w:r>
            <w:r>
              <w:rPr>
                <w:sz w:val="24"/>
                <w:lang w:val="vi-VN"/>
              </w:rPr>
              <w:t>.</w:t>
            </w:r>
          </w:p>
          <w:p>
            <w:pPr>
              <w:ind w:firstLine="0"/>
              <w:rPr>
                <w:sz w:val="24"/>
              </w:rPr>
            </w:pPr>
            <w:r>
              <w:rPr>
                <w:sz w:val="24"/>
                <w:lang w:val="vi-VN"/>
              </w:rPr>
              <w:t>2. Thường trực Hội đồng nhân dân tỉnh, các Ban của Hội đồng nhân dân tỉnh, các Tổ đại biểu Hội đồng nhân dân tỉnh và đại biểu Hội đồng nhân dân tỉnh, trong phạm vi chức năng, nhiệm vụ và quyền hạn của mình, giám sát việc thực hiện Nghị quyết này.</w:t>
            </w:r>
          </w:p>
          <w:p>
            <w:pPr>
              <w:ind w:firstLine="0"/>
              <w:rPr>
                <w:b/>
                <w:bCs/>
                <w:color w:val="000000" w:themeColor="text1"/>
                <w:sz w:val="24"/>
              </w:rPr>
            </w:pPr>
            <w:r>
              <w:rPr>
                <w:b/>
                <w:bCs/>
                <w:color w:val="000000" w:themeColor="text1"/>
                <w:sz w:val="24"/>
              </w:rPr>
              <w:t>PHẦN 2. QUY ĐỊNH</w:t>
            </w:r>
          </w:p>
          <w:p>
            <w:pPr>
              <w:spacing w:line="360" w:lineRule="atLeast"/>
              <w:ind w:firstLine="0"/>
              <w:jc w:val="left"/>
              <w:rPr>
                <w:b/>
                <w:bCs/>
                <w:sz w:val="24"/>
              </w:rPr>
            </w:pPr>
            <w:r>
              <w:rPr>
                <w:b/>
                <w:bCs/>
                <w:sz w:val="24"/>
              </w:rPr>
              <w:t>Chương I</w:t>
            </w:r>
          </w:p>
          <w:p>
            <w:pPr>
              <w:spacing w:line="360" w:lineRule="atLeast"/>
              <w:ind w:firstLine="0"/>
              <w:jc w:val="left"/>
              <w:rPr>
                <w:b/>
                <w:bCs/>
                <w:sz w:val="24"/>
              </w:rPr>
            </w:pPr>
            <w:r>
              <w:rPr>
                <w:b/>
                <w:bCs/>
                <w:sz w:val="24"/>
              </w:rPr>
              <w:t>NHỮNG QUY ĐỊNH CHUNG</w:t>
            </w:r>
          </w:p>
          <w:p>
            <w:pPr>
              <w:spacing w:line="276" w:lineRule="auto"/>
              <w:ind w:firstLine="0"/>
              <w:jc w:val="left"/>
              <w:rPr>
                <w:b/>
                <w:sz w:val="24"/>
              </w:rPr>
            </w:pPr>
            <w:r>
              <w:rPr>
                <w:b/>
                <w:bCs/>
                <w:sz w:val="24"/>
              </w:rPr>
              <w:t>Điều 1.</w:t>
            </w:r>
            <w:r>
              <w:rPr>
                <w:bCs/>
                <w:sz w:val="24"/>
              </w:rPr>
              <w:t xml:space="preserve"> </w:t>
            </w:r>
            <w:r>
              <w:rPr>
                <w:b/>
                <w:sz w:val="24"/>
              </w:rPr>
              <w:t>Phạm vi điều chỉnh và đối tượng áp dụng</w:t>
            </w:r>
          </w:p>
          <w:p>
            <w:pPr>
              <w:spacing w:line="276" w:lineRule="auto"/>
              <w:ind w:firstLine="0"/>
              <w:jc w:val="left"/>
              <w:rPr>
                <w:rFonts w:eastAsia="Calibri"/>
                <w:sz w:val="24"/>
              </w:rPr>
            </w:pPr>
            <w:r>
              <w:rPr>
                <w:rFonts w:eastAsia="Calibri"/>
                <w:sz w:val="24"/>
              </w:rPr>
              <w:t>1. Phạm vi điều chỉnh</w:t>
            </w:r>
          </w:p>
          <w:p>
            <w:pPr>
              <w:spacing w:line="276" w:lineRule="auto"/>
              <w:ind w:firstLine="0"/>
              <w:jc w:val="left"/>
              <w:rPr>
                <w:rFonts w:eastAsia="Calibri"/>
                <w:sz w:val="24"/>
              </w:rPr>
            </w:pPr>
            <w:r>
              <w:rPr>
                <w:rFonts w:eastAsia="Calibri"/>
                <w:sz w:val="24"/>
              </w:rPr>
              <w:lastRenderedPageBreak/>
              <w:t>Quy định nguyên tắc, tiêu chí, định mức phân bổ vốn ngân sách trung ương và tỷ lệ vốn đối ứng của ngân sách địa phương (tỉnh, xã) thực hiện Chương trình mục tiêu quốc gia xây dựng nông thôn mới, giảm nghèo bền vững và phát triển kinh tế - xã hội vùng đồng bào dân tộc thiểu số và miền núi giai đoạn 2026 - 2030 (</w:t>
            </w:r>
            <w:r>
              <w:rPr>
                <w:rFonts w:eastAsia="Calibri"/>
                <w:i/>
                <w:sz w:val="24"/>
              </w:rPr>
              <w:t>sau đây gọi tắt là Chương trình</w:t>
            </w:r>
            <w:r>
              <w:rPr>
                <w:rFonts w:eastAsia="Calibri"/>
                <w:sz w:val="24"/>
              </w:rPr>
              <w:t>).</w:t>
            </w:r>
          </w:p>
          <w:p>
            <w:pPr>
              <w:spacing w:line="276" w:lineRule="auto"/>
              <w:ind w:firstLine="0"/>
              <w:jc w:val="left"/>
              <w:rPr>
                <w:sz w:val="24"/>
              </w:rPr>
            </w:pPr>
            <w:r>
              <w:rPr>
                <w:sz w:val="24"/>
              </w:rPr>
              <w:t>2. Đối tượng áp dụng</w:t>
            </w:r>
          </w:p>
          <w:p>
            <w:pPr>
              <w:shd w:val="clear" w:color="auto" w:fill="FFFFFF"/>
              <w:spacing w:line="276" w:lineRule="auto"/>
              <w:ind w:firstLine="0"/>
              <w:jc w:val="left"/>
              <w:rPr>
                <w:rFonts w:eastAsia="Calibri"/>
                <w:sz w:val="24"/>
              </w:rPr>
            </w:pPr>
            <w:r>
              <w:rPr>
                <w:rFonts w:eastAsia="Calibri"/>
                <w:sz w:val="24"/>
              </w:rPr>
              <w:t>a. Các sở, ban, ngành cấp tỉnh; các xã, phường và đơn vị sử dụng vốn ngân sách nhà nước để thực hiện Chương trình.</w:t>
            </w:r>
          </w:p>
          <w:p>
            <w:pPr>
              <w:shd w:val="clear" w:color="auto" w:fill="FFFFFF"/>
              <w:spacing w:line="276" w:lineRule="auto"/>
              <w:ind w:firstLine="0"/>
              <w:jc w:val="left"/>
              <w:rPr>
                <w:rFonts w:eastAsia="Calibri"/>
                <w:sz w:val="24"/>
              </w:rPr>
            </w:pPr>
            <w:r>
              <w:rPr>
                <w:rFonts w:eastAsia="Calibri"/>
                <w:sz w:val="24"/>
              </w:rPr>
              <w:t>b. Cơ quan, tổ chức, cá nhân tham gia hoặc có liên quan đến lập, thực hiện kế hoạch đầu tư công trung hạn và hằng năm từ nguồn ngân sách nhà nước thuộc Chương trình.</w:t>
            </w:r>
          </w:p>
          <w:p>
            <w:pPr>
              <w:ind w:firstLine="0"/>
              <w:rPr>
                <w:b/>
                <w:bCs/>
                <w:color w:val="000000" w:themeColor="text1"/>
                <w:sz w:val="24"/>
              </w:rPr>
            </w:pPr>
          </w:p>
        </w:tc>
        <w:tc>
          <w:tcPr>
            <w:tcW w:w="5119" w:type="dxa"/>
          </w:tcPr>
          <w:p>
            <w:pPr>
              <w:ind w:firstLine="0"/>
              <w:rPr>
                <w:sz w:val="24"/>
              </w:rPr>
            </w:pPr>
            <w:r>
              <w:rPr>
                <w:sz w:val="24"/>
              </w:rPr>
              <w:lastRenderedPageBreak/>
              <w:t>Việc quy định cụ thể hiệu lực và trách nhiệm thi hành của Quyết định để các sở, ban, ngành và các địa phương có liên quan thống nhất áp dụng thực hiện.</w:t>
            </w:r>
          </w:p>
          <w:p>
            <w:pPr>
              <w:ind w:firstLine="0"/>
              <w:rPr>
                <w:sz w:val="24"/>
              </w:rPr>
            </w:pPr>
            <w:r>
              <w:rPr>
                <w:sz w:val="24"/>
              </w:rPr>
              <w:t>Cụ thể hóa trách nhiệm của UBND tỉnh Thanh Hóa trong việc tham mưu ban hành hệ thống tiêu chí định mức và chủ động bố trí nguồn lực đối ứng theo đúng thẩm quyền được Thủ tướng Chính phủ giao</w:t>
            </w:r>
          </w:p>
          <w:p>
            <w:pPr>
              <w:ind w:firstLine="0"/>
              <w:rPr>
                <w:bCs/>
                <w:color w:val="000000" w:themeColor="text1"/>
                <w:sz w:val="24"/>
              </w:rPr>
            </w:pPr>
            <w:r>
              <w:rPr>
                <w:bCs/>
                <w:color w:val="000000" w:themeColor="text1"/>
                <w:sz w:val="24"/>
              </w:rPr>
              <w:t>Thực hiện đúng cơ chế phân cấp theo mô hình chính quyền 02 cấp (tỉnh và xã) từ năm 2025, giảm tầng nấc trung gian và tăng quyền chủ động cho cơ sở trong việc lựa chọn danh mục dự án</w:t>
            </w:r>
          </w:p>
          <w:p>
            <w:pPr>
              <w:ind w:firstLine="0"/>
              <w:rPr>
                <w:bCs/>
                <w:color w:val="000000" w:themeColor="text1"/>
                <w:sz w:val="24"/>
              </w:rPr>
            </w:pPr>
            <w:r>
              <w:rPr>
                <w:bCs/>
                <w:color w:val="000000" w:themeColor="text1"/>
                <w:sz w:val="24"/>
              </w:rPr>
              <w:t xml:space="preserve">Đảm bảo tính kỷ luật tài chính và trách nhiệm của ngân sách tỉnh Thanh Hóa trong việc chia sẻ khó </w:t>
            </w:r>
            <w:r>
              <w:rPr>
                <w:bCs/>
                <w:color w:val="000000" w:themeColor="text1"/>
                <w:sz w:val="24"/>
              </w:rPr>
              <w:lastRenderedPageBreak/>
              <w:t>khăn với cấp xã, đặc biệt tại các huyện miền núi có suất đầu tư lớn do địa hình chia cắt</w:t>
            </w:r>
          </w:p>
          <w:p>
            <w:pPr>
              <w:ind w:firstLine="0"/>
              <w:rPr>
                <w:bCs/>
                <w:color w:val="000000" w:themeColor="text1"/>
                <w:sz w:val="24"/>
              </w:rPr>
            </w:pPr>
            <w:r>
              <w:rPr>
                <w:bCs/>
                <w:color w:val="000000" w:themeColor="text1"/>
                <w:sz w:val="24"/>
              </w:rPr>
              <w:t>Cụ thể hóa các tiêu chí phân bổ vốn đầu tư phát triển nguồn ngân sách địa phương, đảm bảo tương thích với các quy định mới của Trung ương</w:t>
            </w:r>
          </w:p>
          <w:p>
            <w:pPr>
              <w:ind w:firstLine="0"/>
              <w:rPr>
                <w:bCs/>
                <w:color w:val="000000" w:themeColor="text1"/>
                <w:sz w:val="24"/>
              </w:rPr>
            </w:pPr>
            <w:r>
              <w:rPr>
                <w:bCs/>
                <w:color w:val="000000" w:themeColor="text1"/>
                <w:sz w:val="24"/>
              </w:rPr>
              <w:t>Căn cứ pháp lý cao nhất để thực hiện cơ chế tích hợp 03 Chương trình MTQG, khắc phục tình trạng dàn trải và chồng chéo nguồn lực trong giai đoạn tới</w:t>
            </w:r>
          </w:p>
          <w:p>
            <w:pPr>
              <w:ind w:firstLine="0"/>
              <w:rPr>
                <w:bCs/>
                <w:color w:val="000000" w:themeColor="text1"/>
                <w:sz w:val="24"/>
              </w:rPr>
            </w:pPr>
          </w:p>
        </w:tc>
      </w:tr>
      <w:tr>
        <w:trPr>
          <w:jc w:val="center"/>
        </w:trPr>
        <w:tc>
          <w:tcPr>
            <w:tcW w:w="3397" w:type="dxa"/>
          </w:tcPr>
          <w:p>
            <w:pPr>
              <w:tabs>
                <w:tab w:val="center" w:pos="0"/>
                <w:tab w:val="left" w:pos="4675"/>
                <w:tab w:val="left" w:pos="6810"/>
              </w:tabs>
              <w:ind w:firstLine="0"/>
              <w:jc w:val="left"/>
              <w:rPr>
                <w:color w:val="000000" w:themeColor="text1"/>
                <w:sz w:val="24"/>
              </w:rPr>
            </w:pPr>
            <w:r>
              <w:rPr>
                <w:color w:val="000000" w:themeColor="text1"/>
                <w:sz w:val="24"/>
              </w:rPr>
              <w:lastRenderedPageBreak/>
              <w:t xml:space="preserve">Tại </w:t>
            </w:r>
            <w:r>
              <w:rPr>
                <w:b/>
                <w:bCs/>
                <w:color w:val="000000" w:themeColor="text1"/>
                <w:sz w:val="24"/>
              </w:rPr>
              <w:t>Khoản 5 Điều 9 Quyết định số 16/2026/QĐ-TTg:</w:t>
            </w:r>
            <w:r>
              <w:rPr>
                <w:color w:val="000000" w:themeColor="text1"/>
                <w:sz w:val="24"/>
              </w:rPr>
              <w:t xml:space="preserve"> giao UBND các tỉnh, thành phố “Căn cứ điều kiện thực tế, nghiên cứu, xây dựng nguyên tắc, tiêu chí, định mức phân bổ ngân sách nhà nước thực hiện Chương trình giai đoạn 2026 - 2030 trình Hội đồng nhân dân cùng cấp quyết định.”.</w:t>
            </w:r>
          </w:p>
          <w:p>
            <w:pPr>
              <w:tabs>
                <w:tab w:val="center" w:pos="0"/>
                <w:tab w:val="left" w:pos="4675"/>
                <w:tab w:val="left" w:pos="6810"/>
              </w:tabs>
              <w:ind w:firstLine="0"/>
              <w:jc w:val="left"/>
              <w:rPr>
                <w:b/>
                <w:color w:val="000000" w:themeColor="text1"/>
                <w:sz w:val="24"/>
              </w:rPr>
            </w:pPr>
          </w:p>
        </w:tc>
        <w:tc>
          <w:tcPr>
            <w:tcW w:w="6096" w:type="dxa"/>
          </w:tcPr>
          <w:p>
            <w:pPr>
              <w:shd w:val="clear" w:color="auto" w:fill="FFFFFF"/>
              <w:spacing w:line="276" w:lineRule="auto"/>
              <w:ind w:firstLine="0"/>
              <w:rPr>
                <w:b/>
                <w:bCs/>
                <w:sz w:val="24"/>
              </w:rPr>
            </w:pPr>
            <w:r>
              <w:rPr>
                <w:b/>
                <w:sz w:val="24"/>
              </w:rPr>
              <w:t xml:space="preserve">Điều 2. </w:t>
            </w:r>
            <w:bookmarkStart w:id="1" w:name="dieu_3"/>
            <w:r>
              <w:rPr>
                <w:b/>
                <w:bCs/>
                <w:sz w:val="24"/>
              </w:rPr>
              <w:t xml:space="preserve">Nguyên tắc </w:t>
            </w:r>
            <w:bookmarkEnd w:id="1"/>
            <w:r>
              <w:rPr>
                <w:b/>
                <w:bCs/>
                <w:sz w:val="24"/>
              </w:rPr>
              <w:t>phân bổ</w:t>
            </w:r>
          </w:p>
          <w:p>
            <w:pPr>
              <w:shd w:val="clear" w:color="auto" w:fill="FFFFFF"/>
              <w:spacing w:line="276" w:lineRule="auto"/>
              <w:ind w:firstLine="0"/>
              <w:rPr>
                <w:sz w:val="24"/>
              </w:rPr>
            </w:pPr>
            <w:r>
              <w:rPr>
                <w:sz w:val="24"/>
              </w:rPr>
              <w:t>1. Việc phân bổ kế hoạch vốn ngân sách trung ương thực hiện Chương trình phải tuân thủ theo quy định của Luật Đầu tư công, Luật Ngân sách nhà nước, Quyết định số </w:t>
            </w:r>
            <w:hyperlink r:id="rId9" w:tgtFrame="_blank" w:tooltip="Quyết định 07/2022/QĐ-TTg" w:history="1">
              <w:r>
                <w:rPr>
                  <w:sz w:val="24"/>
                </w:rPr>
                <w:t>16/2026/QĐ-TTg</w:t>
              </w:r>
            </w:hyperlink>
            <w:r>
              <w:rPr>
                <w:sz w:val="24"/>
              </w:rPr>
              <w:t> ngày 15/4/2026 của Thủ tướng Chính phủ quy định nguyên tắc, tiêu chí, định mức phân bổ vốn ngân sách trung ương và tỷ lệ vốn đối ứng của ngân sách địa phương thực hiện Chương trình mục tiêu quốc gia xây dựng nông thôn mới, giảm nghèo bền vững và phát triển kinh tế -  xã hội vùng đồng bào dân tộc thiểu số và miền núi trên địa bàn tỉnh Thanh Hoá, giai đoạn 2026-2030 và các văn bản pháp luật có liên quan.</w:t>
            </w:r>
          </w:p>
          <w:p>
            <w:pPr>
              <w:shd w:val="clear" w:color="auto" w:fill="FFFFFF"/>
              <w:spacing w:line="276" w:lineRule="auto"/>
              <w:ind w:firstLine="0"/>
              <w:rPr>
                <w:sz w:val="24"/>
              </w:rPr>
            </w:pPr>
            <w:r>
              <w:rPr>
                <w:sz w:val="24"/>
              </w:rPr>
              <w:lastRenderedPageBreak/>
              <w:t xml:space="preserve">2. Đầu tư có trọng tâm, trọng điểm, hiệu quả, bền vững; tập trung ưu tiên phân bổ ngân sách trung ương ở mức cao nhất cho các xã, thôn đặc biệt khó khăn, vùng đồng bào dân tộc thiểu số và miền núi, an toàn khu, biên giới và hải đảo nhằm tạo chuyển biến rõ nét trong phát triển kinh tế - xã hội, xây dựng nông thôn mới, giảm nghèo bền vững. </w:t>
            </w:r>
          </w:p>
          <w:p>
            <w:pPr>
              <w:shd w:val="clear" w:color="auto" w:fill="FFFFFF"/>
              <w:spacing w:line="276" w:lineRule="auto"/>
              <w:ind w:firstLine="0"/>
              <w:rPr>
                <w:sz w:val="24"/>
              </w:rPr>
            </w:pPr>
            <w:r>
              <w:rPr>
                <w:sz w:val="24"/>
              </w:rPr>
              <w:t>3. Bảo đảm quản lý thống nhất về mục tiêu, cơ chế, chính sách, tiêu chí và định mức phân bổ; không trùng lặp nội dung, đối tượng với các chương trình mục tiêu quốc gia, chương trình, dự án khác thực hiện trên cùng địa bàn.</w:t>
            </w:r>
          </w:p>
          <w:p>
            <w:pPr>
              <w:shd w:val="clear" w:color="auto" w:fill="FFFFFF"/>
              <w:spacing w:line="276" w:lineRule="auto"/>
              <w:ind w:firstLine="0"/>
              <w:rPr>
                <w:sz w:val="24"/>
              </w:rPr>
            </w:pPr>
            <w:r>
              <w:rPr>
                <w:sz w:val="24"/>
              </w:rPr>
              <w:t>4. Đảm bảo công khai, minh bạch trong việc phân bổ vốn kế hoạch thực hiện Chương trình, góp phần đẩy mạnh cải cách hành chính và tăng cường công tác phòng chống tham nhũng, thực hành tiết kiệm, chống lãng phí.</w:t>
            </w:r>
          </w:p>
          <w:p>
            <w:pPr>
              <w:ind w:firstLine="29"/>
              <w:rPr>
                <w:color w:val="000000" w:themeColor="text1"/>
                <w:sz w:val="24"/>
              </w:rPr>
            </w:pPr>
          </w:p>
        </w:tc>
        <w:tc>
          <w:tcPr>
            <w:tcW w:w="5119" w:type="dxa"/>
          </w:tcPr>
          <w:p>
            <w:pPr>
              <w:ind w:firstLine="0"/>
              <w:rPr>
                <w:color w:val="000000" w:themeColor="text1"/>
                <w:sz w:val="24"/>
                <w:highlight w:val="yellow"/>
              </w:rPr>
            </w:pPr>
            <w:r>
              <w:rPr>
                <w:sz w:val="24"/>
              </w:rPr>
              <w:lastRenderedPageBreak/>
              <w:t>Cụ thể hóa yêu cầu của Quốc hội về phân bổ theo mức độ khó khăn, tập trung, không dàn trải; bảo đảm ưu tiên địa bàn đặc biệt khó khăn, vùng DTTS&amp;MN, an toàn khu, biên giới, hải đảo; không làm thay đổi tổng mức vốn đã quyết định.</w:t>
            </w:r>
          </w:p>
        </w:tc>
      </w:tr>
      <w:tr>
        <w:trPr>
          <w:trHeight w:val="1943"/>
          <w:jc w:val="center"/>
        </w:trPr>
        <w:tc>
          <w:tcPr>
            <w:tcW w:w="3397" w:type="dxa"/>
          </w:tcPr>
          <w:p>
            <w:pPr>
              <w:ind w:firstLine="0"/>
              <w:jc w:val="left"/>
              <w:rPr>
                <w:sz w:val="24"/>
              </w:rPr>
            </w:pPr>
            <w:r>
              <w:rPr>
                <w:sz w:val="24"/>
              </w:rPr>
              <w:t xml:space="preserve">Luật NSNN quy định điều tiết theo khả năng cân đối; </w:t>
            </w:r>
          </w:p>
          <w:p>
            <w:pPr>
              <w:ind w:firstLine="0"/>
              <w:jc w:val="left"/>
              <w:rPr>
                <w:b/>
                <w:color w:val="000000" w:themeColor="text1"/>
                <w:sz w:val="24"/>
              </w:rPr>
            </w:pPr>
            <w:r>
              <w:rPr>
                <w:sz w:val="24"/>
              </w:rPr>
              <w:t xml:space="preserve">Quyết định số 16/2026/QĐ-TTg  ngày 15 tháng 4 năm 2026 của Thủ tướng Chính phủ quy định nguyên tắc, tiêu chí, định mức phân bổ ngân sách trung ương và tỷ lệ vốn đổi ứng ngân sách của địa phương thực hiện Chương trình mục tiêu quốc gia xây dựng nông thôn mới, giảm nghèo bền vũng và phát triển </w:t>
            </w:r>
            <w:r>
              <w:rPr>
                <w:sz w:val="24"/>
              </w:rPr>
              <w:lastRenderedPageBreak/>
              <w:t>kinh tế - xã hội vùng đồng bào dân tộc thiểu số và miền núi giai đoạn 2026 - 2030</w:t>
            </w:r>
          </w:p>
        </w:tc>
        <w:tc>
          <w:tcPr>
            <w:tcW w:w="6096" w:type="dxa"/>
          </w:tcPr>
          <w:p>
            <w:pPr>
              <w:shd w:val="clear" w:color="auto" w:fill="FFFFFF"/>
              <w:spacing w:line="276" w:lineRule="auto"/>
              <w:ind w:firstLine="0"/>
              <w:rPr>
                <w:rFonts w:eastAsia="Calibri"/>
                <w:b/>
                <w:bCs/>
                <w:spacing w:val="-8"/>
                <w:sz w:val="24"/>
                <w:shd w:val="clear" w:color="auto" w:fill="FFFFFF"/>
              </w:rPr>
            </w:pPr>
            <w:bookmarkStart w:id="2" w:name="dieu_4"/>
            <w:r>
              <w:rPr>
                <w:rFonts w:eastAsia="Calibri"/>
                <w:b/>
                <w:bCs/>
                <w:spacing w:val="-8"/>
                <w:sz w:val="24"/>
                <w:shd w:val="clear" w:color="auto" w:fill="FFFFFF"/>
              </w:rPr>
              <w:lastRenderedPageBreak/>
              <w:t xml:space="preserve">Điều 3. Tiêu chí, hệ số phân bổ </w:t>
            </w:r>
            <w:bookmarkEnd w:id="2"/>
          </w:p>
          <w:p>
            <w:pPr>
              <w:shd w:val="clear" w:color="auto" w:fill="FFFFFF"/>
              <w:spacing w:line="276" w:lineRule="auto"/>
              <w:ind w:firstLine="0"/>
              <w:rPr>
                <w:rFonts w:eastAsia="Calibri"/>
                <w:sz w:val="24"/>
                <w:shd w:val="clear" w:color="auto" w:fill="FFFFFF"/>
              </w:rPr>
            </w:pPr>
            <w:r>
              <w:rPr>
                <w:rFonts w:eastAsia="Calibri"/>
                <w:sz w:val="24"/>
                <w:shd w:val="clear" w:color="auto" w:fill="FFFFFF"/>
              </w:rPr>
              <w:t>Tiêu chí, hệ số phân bổ theo đối tượng thôn, xã.</w:t>
            </w:r>
          </w:p>
          <w:p>
            <w:pPr>
              <w:shd w:val="clear" w:color="auto" w:fill="FFFFFF"/>
              <w:spacing w:line="276" w:lineRule="auto"/>
              <w:ind w:firstLine="0"/>
              <w:rPr>
                <w:rFonts w:eastAsia="Calibri"/>
                <w:sz w:val="24"/>
                <w:shd w:val="clear" w:color="auto" w:fill="FFFFFF"/>
              </w:rPr>
            </w:pPr>
            <w:r>
              <w:rPr>
                <w:rFonts w:eastAsia="Calibri"/>
                <w:sz w:val="24"/>
              </w:rPr>
              <w:t>Việc phân bổ vốn ngân sách Trung ương cho các thôn đặc biệt khó khăn vùng đồng bào dân tộc thiểu số và miền núi (</w:t>
            </w:r>
            <w:r>
              <w:rPr>
                <w:rFonts w:eastAsia="Calibri"/>
                <w:i/>
                <w:iCs/>
                <w:sz w:val="24"/>
              </w:rPr>
              <w:t>sau đây viết tắt là DTTS&amp;MN</w:t>
            </w:r>
            <w:r>
              <w:rPr>
                <w:rFonts w:eastAsia="Calibri"/>
                <w:sz w:val="24"/>
              </w:rPr>
              <w:t>) và các xã theo từng khu vực tính đến hết 31 tháng 3 năm 2026 (</w:t>
            </w:r>
            <w:r>
              <w:rPr>
                <w:i/>
                <w:sz w:val="24"/>
              </w:rPr>
              <w:t>theo Quyết định số 267/QĐ-UBND ngày 21/01/2026 của UBND tỉnh Thanh Hoá)</w:t>
            </w:r>
            <w:r>
              <w:rPr>
                <w:rFonts w:eastAsia="Calibri"/>
                <w:sz w:val="24"/>
              </w:rPr>
              <w:t>, với hệ số như sau:</w:t>
            </w:r>
          </w:p>
          <w:p>
            <w:pPr>
              <w:shd w:val="clear" w:color="auto" w:fill="FFFFFF"/>
              <w:spacing w:line="276" w:lineRule="auto"/>
              <w:ind w:firstLine="0"/>
              <w:rPr>
                <w:rFonts w:eastAsia="Calibri"/>
                <w:sz w:val="24"/>
                <w:shd w:val="clear" w:color="auto" w:fill="FFFFFF"/>
              </w:rPr>
            </w:pPr>
            <w:r>
              <w:rPr>
                <w:rFonts w:eastAsia="Calibri"/>
                <w:sz w:val="24"/>
                <w:shd w:val="clear" w:color="auto" w:fill="FFFFFF"/>
              </w:rPr>
              <w:lastRenderedPageBreak/>
              <w:t>a) Thôn đặc biệt khó khăn vùng đồng bào DTTS&amp;MN: Hệ số 1,0;</w:t>
            </w:r>
          </w:p>
          <w:p>
            <w:pPr>
              <w:shd w:val="clear" w:color="auto" w:fill="FFFFFF"/>
              <w:spacing w:line="276" w:lineRule="auto"/>
              <w:ind w:firstLine="0"/>
              <w:rPr>
                <w:rFonts w:eastAsia="Calibri"/>
                <w:sz w:val="24"/>
                <w:shd w:val="clear" w:color="auto" w:fill="FFFFFF"/>
              </w:rPr>
            </w:pPr>
            <w:r>
              <w:rPr>
                <w:rFonts w:eastAsia="Calibri"/>
                <w:sz w:val="24"/>
                <w:shd w:val="clear" w:color="auto" w:fill="FFFFFF"/>
              </w:rPr>
              <w:t>b) Xã khu vực III vùng đồng bào DTTS&amp;MN, xã biên giới: Hệ số 50,0;</w:t>
            </w:r>
          </w:p>
          <w:p>
            <w:pPr>
              <w:shd w:val="clear" w:color="auto" w:fill="FFFFFF"/>
              <w:spacing w:line="276" w:lineRule="auto"/>
              <w:ind w:firstLine="0"/>
              <w:rPr>
                <w:rFonts w:eastAsia="Calibri"/>
                <w:sz w:val="24"/>
                <w:shd w:val="clear" w:color="auto" w:fill="FFFFFF"/>
              </w:rPr>
            </w:pPr>
            <w:r>
              <w:rPr>
                <w:rFonts w:eastAsia="Calibri"/>
                <w:sz w:val="24"/>
                <w:shd w:val="clear" w:color="auto" w:fill="FFFFFF"/>
              </w:rPr>
              <w:t>c) Xã khu vực II vùng đồng bào DTTS&amp;MN: Hệ số 40,0;</w:t>
            </w:r>
          </w:p>
          <w:p>
            <w:pPr>
              <w:shd w:val="clear" w:color="auto" w:fill="FFFFFF"/>
              <w:spacing w:line="276" w:lineRule="auto"/>
              <w:ind w:firstLine="0"/>
              <w:rPr>
                <w:rFonts w:eastAsia="Calibri"/>
                <w:sz w:val="24"/>
                <w:shd w:val="clear" w:color="auto" w:fill="FFFFFF"/>
              </w:rPr>
            </w:pPr>
            <w:r>
              <w:rPr>
                <w:rFonts w:eastAsia="Calibri"/>
                <w:sz w:val="24"/>
                <w:shd w:val="clear" w:color="auto" w:fill="FFFFFF"/>
              </w:rPr>
              <w:t>d) Xã khu vực I vùng đồng bào DTTS&amp;MN: Hệ số 30,0;</w:t>
            </w:r>
          </w:p>
          <w:p>
            <w:pPr>
              <w:shd w:val="clear" w:color="auto" w:fill="FFFFFF"/>
              <w:spacing w:line="276" w:lineRule="auto"/>
              <w:ind w:firstLine="0"/>
              <w:rPr>
                <w:rFonts w:eastAsia="Calibri"/>
                <w:sz w:val="24"/>
                <w:shd w:val="clear" w:color="auto" w:fill="FFFFFF"/>
              </w:rPr>
            </w:pPr>
            <w:r>
              <w:rPr>
                <w:rFonts w:eastAsia="Calibri"/>
                <w:sz w:val="24"/>
                <w:shd w:val="clear" w:color="auto" w:fill="FFFFFF"/>
              </w:rPr>
              <w:t>đ) Xã còn lại: Hệ số 25.</w:t>
            </w:r>
          </w:p>
        </w:tc>
        <w:tc>
          <w:tcPr>
            <w:tcW w:w="5119" w:type="dxa"/>
          </w:tcPr>
          <w:p>
            <w:pPr>
              <w:ind w:firstLine="0"/>
              <w:rPr>
                <w:sz w:val="24"/>
              </w:rPr>
            </w:pPr>
            <w:r>
              <w:rPr>
                <w:sz w:val="24"/>
              </w:rPr>
              <w:lastRenderedPageBreak/>
              <w:t xml:space="preserve">Kế thừa hệ số định lượng theo thôn ĐBKK và phân loại xã (50–40–30–25), trên cơ sở phân loại </w:t>
            </w:r>
            <w:r>
              <w:rPr>
                <w:rFonts w:eastAsia="Calibri"/>
                <w:sz w:val="24"/>
              </w:rPr>
              <w:t>xã theo từng khu vực tính đến hết 31 tháng 3 năm 2026 (</w:t>
            </w:r>
            <w:r>
              <w:rPr>
                <w:i/>
                <w:sz w:val="24"/>
              </w:rPr>
              <w:t>theo Quyết định số 267/QĐ-UBND ngày 21/01/2026 của UBND tỉnh Thanh Hoá)</w:t>
            </w:r>
            <w:r>
              <w:rPr>
                <w:sz w:val="24"/>
              </w:rPr>
              <w:t>.</w:t>
            </w:r>
          </w:p>
          <w:p>
            <w:pPr>
              <w:ind w:firstLine="0"/>
              <w:rPr>
                <w:color w:val="000000" w:themeColor="text1"/>
                <w:sz w:val="24"/>
              </w:rPr>
            </w:pPr>
            <w:r>
              <w:rPr>
                <w:sz w:val="24"/>
              </w:rPr>
              <w:t xml:space="preserve">Không thay đổi tỷ lệ hỗ trợ NSTW do Chính phủ quyết định. </w:t>
            </w:r>
          </w:p>
        </w:tc>
      </w:tr>
      <w:tr>
        <w:trPr>
          <w:trHeight w:val="1289"/>
          <w:jc w:val="center"/>
        </w:trPr>
        <w:tc>
          <w:tcPr>
            <w:tcW w:w="3397" w:type="dxa"/>
          </w:tcPr>
          <w:p>
            <w:pPr>
              <w:ind w:firstLine="0"/>
              <w:jc w:val="left"/>
              <w:rPr>
                <w:b/>
                <w:color w:val="000000" w:themeColor="text1"/>
                <w:sz w:val="24"/>
              </w:rPr>
            </w:pPr>
            <w:r>
              <w:rPr>
                <w:sz w:val="24"/>
              </w:rPr>
              <w:t>Nghị quyết 257/2025/QH15 quy định HĐND cấp tỉnh quyết định hoặc phân cấp cho HĐND cấp xã quyết định phân bổ chi tiết</w:t>
            </w:r>
          </w:p>
        </w:tc>
        <w:tc>
          <w:tcPr>
            <w:tcW w:w="6096" w:type="dxa"/>
          </w:tcPr>
          <w:p>
            <w:pPr>
              <w:shd w:val="clear" w:color="auto" w:fill="FFFFFF"/>
              <w:spacing w:line="276" w:lineRule="auto"/>
              <w:ind w:firstLine="0"/>
              <w:rPr>
                <w:b/>
                <w:bCs/>
                <w:sz w:val="24"/>
              </w:rPr>
            </w:pPr>
            <w:bookmarkStart w:id="3" w:name="khoan_2_6"/>
            <w:r>
              <w:rPr>
                <w:b/>
                <w:bCs/>
                <w:sz w:val="24"/>
              </w:rPr>
              <w:t xml:space="preserve">Điều 4. Định mức phân bổ </w:t>
            </w:r>
          </w:p>
          <w:bookmarkEnd w:id="3"/>
          <w:p>
            <w:pPr>
              <w:shd w:val="clear" w:color="auto" w:fill="FFFFFF"/>
              <w:spacing w:line="276" w:lineRule="auto"/>
              <w:ind w:firstLine="0"/>
              <w:rPr>
                <w:sz w:val="24"/>
              </w:rPr>
            </w:pPr>
            <w:r>
              <w:rPr>
                <w:sz w:val="24"/>
                <w:lang w:val="sv-SE"/>
              </w:rPr>
              <w:t>Căn cứ tổng dự toán, kế hoạch vốn ngân sách Trung ương giai đoạn 2026-2030 thực hiện Chương trình được cấp có thẩm quyền giao cho tỉnh Thanh Hóa và các nguyên tắc, tiêu chí phân bổ được quy định tại Quyết định này, Uỷ ban nhân dân tỉnh xây dựng phương án phân bổ vốn ngân sách Trung ương giai đoạn 2026-2030, trình Hội đồng nhân dân tỉnh quyết định phân bổ cho các địa phương để thực hiện các mục tiêu, nhiệm vụ giai đoạn 2026-2030 của Chương trình</w:t>
            </w:r>
            <w:r>
              <w:rPr>
                <w:sz w:val="24"/>
              </w:rPr>
              <w:t>.</w:t>
            </w:r>
          </w:p>
          <w:p>
            <w:pPr>
              <w:shd w:val="clear" w:color="auto" w:fill="FFFFFF"/>
              <w:ind w:firstLine="24"/>
              <w:rPr>
                <w:bCs/>
                <w:color w:val="000000" w:themeColor="text1"/>
                <w:sz w:val="24"/>
              </w:rPr>
            </w:pPr>
            <w:r>
              <w:rPr>
                <w:sz w:val="24"/>
              </w:rPr>
              <w:t xml:space="preserve">Hằng năm, căn cứ số vốn ngân sách Trung ương giao thực hiện Chương trình, trên cơ sở kết quả thực hiện nhiệm vụ và kết quả giải ngân vốn năm liền kề của các địa phương, tình hình thực tế của tỉnh, Ủy ban nhân dân tỉnh xây dựng phương án phân bổ </w:t>
            </w:r>
            <w:r>
              <w:rPr>
                <w:sz w:val="24"/>
                <w:lang w:val="sv-SE"/>
              </w:rPr>
              <w:t xml:space="preserve">vốn ngân sách Trung ương hằng năm </w:t>
            </w:r>
            <w:r>
              <w:rPr>
                <w:sz w:val="24"/>
              </w:rPr>
              <w:t xml:space="preserve">cho cấp xã theo </w:t>
            </w:r>
            <w:r>
              <w:rPr>
                <w:sz w:val="24"/>
                <w:lang w:val="sv-SE"/>
              </w:rPr>
              <w:t>các nguyên tắc, tiêu chí phân bổ được quy định tại Quyết định này, trình Hội đồng nhân dân tỉnh quyết định phân bổ cho các địa phương để thực hiện các mục tiêu, nhiệm vụ hằng năm của Chương trình.</w:t>
            </w:r>
          </w:p>
        </w:tc>
        <w:tc>
          <w:tcPr>
            <w:tcW w:w="5119" w:type="dxa"/>
          </w:tcPr>
          <w:p>
            <w:pPr>
              <w:ind w:firstLine="0"/>
              <w:rPr>
                <w:color w:val="000000" w:themeColor="text1"/>
                <w:sz w:val="24"/>
              </w:rPr>
            </w:pPr>
            <w:r>
              <w:rPr>
                <w:b/>
                <w:bCs/>
                <w:sz w:val="24"/>
              </w:rPr>
              <w:t>Thực hiện quyền chủ động của cấp tỉnh:</w:t>
            </w:r>
            <w:r>
              <w:rPr>
                <w:sz w:val="24"/>
              </w:rPr>
              <w:t xml:space="preserve"> Cụ thể hóa cơ chế "địa phương quyết - địa phương làm" bằng việc Trung ương giao tổng mức vốn, tỉnh Thanh Hóa chủ động quyết định phương án phân bổ chi tiết đến từng xã để đạt mục tiêu chung</w:t>
            </w:r>
          </w:p>
        </w:tc>
      </w:tr>
      <w:tr>
        <w:trPr>
          <w:trHeight w:val="484"/>
          <w:jc w:val="center"/>
        </w:trPr>
        <w:tc>
          <w:tcPr>
            <w:tcW w:w="3397" w:type="dxa"/>
          </w:tcPr>
          <w:p>
            <w:pPr>
              <w:ind w:firstLine="0"/>
              <w:jc w:val="left"/>
              <w:rPr>
                <w:sz w:val="24"/>
              </w:rPr>
            </w:pPr>
            <w:r>
              <w:rPr>
                <w:sz w:val="24"/>
              </w:rPr>
              <w:lastRenderedPageBreak/>
              <w:t>Luật NSNN quy định trách nhiệm cân đối ngân sách địa phương</w:t>
            </w:r>
          </w:p>
          <w:p>
            <w:pPr>
              <w:spacing w:line="340" w:lineRule="exact"/>
              <w:ind w:firstLine="0"/>
              <w:rPr>
                <w:bCs/>
                <w:i/>
                <w:iCs/>
                <w:spacing w:val="-2"/>
                <w:position w:val="2"/>
                <w:sz w:val="24"/>
              </w:rPr>
            </w:pPr>
            <w:r>
              <w:rPr>
                <w:bCs/>
                <w:spacing w:val="-2"/>
                <w:position w:val="2"/>
                <w:sz w:val="24"/>
              </w:rPr>
              <w:t>+ Tại Điểm d, Khoản 2, Điều 3 của Nghị quyết số 257/2025/QH15 ngày 11/12/2025 của Quốc hội giao Thủ tướng Chính phủ triển khai thực hiện các nhiệm vụ sau đây</w:t>
            </w:r>
            <w:r>
              <w:rPr>
                <w:bCs/>
                <w:i/>
                <w:iCs/>
                <w:spacing w:val="-2"/>
                <w:position w:val="2"/>
                <w:sz w:val="24"/>
              </w:rPr>
              <w:t>:” d) Chỉ đạo tổ chức thực hiện, theo dõi, kiểm tra, đánh giá, tổng kết việc thực hiện Chương trình</w:t>
            </w:r>
            <w:r>
              <w:rPr>
                <w:i/>
                <w:iCs/>
                <w:spacing w:val="-2"/>
                <w:position w:val="2"/>
                <w:sz w:val="24"/>
              </w:rPr>
              <w:t>; chỉ đạo các tỉnh, thành phố cân đối, bố trí vốn đối ứng, huy động, lồng ghép và sử dụng các nguồn lực để thực hiện hiệu quả Chương trình</w:t>
            </w:r>
            <w:r>
              <w:rPr>
                <w:bCs/>
                <w:i/>
                <w:iCs/>
                <w:spacing w:val="-2"/>
                <w:position w:val="2"/>
                <w:sz w:val="24"/>
              </w:rPr>
              <w:t>; xây dựng cơ sở dữ liệu, hệ thống thông tin quản lý Chương trình.”</w:t>
            </w:r>
          </w:p>
          <w:p>
            <w:pPr>
              <w:spacing w:line="340" w:lineRule="exact"/>
              <w:ind w:firstLine="0"/>
              <w:rPr>
                <w:bCs/>
                <w:spacing w:val="-2"/>
                <w:position w:val="2"/>
                <w:sz w:val="24"/>
              </w:rPr>
            </w:pPr>
            <w:r>
              <w:rPr>
                <w:bCs/>
                <w:spacing w:val="-2"/>
                <w:position w:val="2"/>
                <w:sz w:val="24"/>
              </w:rPr>
              <w:t xml:space="preserve">+ Tại Khoản 2, Điều 2 của Quyết định số 16/2026/QĐ-TTg ngày 15/4/2026 của Thủ tướng Chính phủ quy định </w:t>
            </w:r>
            <w:r>
              <w:rPr>
                <w:bCs/>
                <w:i/>
                <w:iCs/>
                <w:spacing w:val="-2"/>
                <w:position w:val="2"/>
                <w:sz w:val="24"/>
              </w:rPr>
              <w:t xml:space="preserve">“2. Địa phương </w:t>
            </w:r>
            <w:r>
              <w:rPr>
                <w:bCs/>
                <w:i/>
                <w:iCs/>
                <w:spacing w:val="-2"/>
                <w:position w:val="2"/>
                <w:sz w:val="24"/>
              </w:rPr>
              <w:lastRenderedPageBreak/>
              <w:t xml:space="preserve">nhận hỗ trợ từ ngân sách trung ương có trách nhiệm bố trí ngân sách địa phương giai đoạn 5 năm, cân đối ngân sách địa phương hằng năm để thực hiện đầy đủ các mục tiêu, nhiệm vụ của Chương trình, </w:t>
            </w:r>
            <w:r>
              <w:rPr>
                <w:i/>
                <w:iCs/>
                <w:spacing w:val="-2"/>
                <w:position w:val="2"/>
                <w:sz w:val="24"/>
              </w:rPr>
              <w:t>bảo đảm không thấp hơn tỷ lệ vốn đối ứng theo quy định</w:t>
            </w:r>
            <w:r>
              <w:rPr>
                <w:bCs/>
                <w:i/>
                <w:iCs/>
                <w:spacing w:val="-2"/>
                <w:position w:val="2"/>
                <w:sz w:val="24"/>
              </w:rPr>
              <w:t xml:space="preserve"> tại </w:t>
            </w:r>
            <w:bookmarkStart w:id="4" w:name="tc_1"/>
            <w:r>
              <w:rPr>
                <w:bCs/>
                <w:i/>
                <w:iCs/>
                <w:spacing w:val="-2"/>
                <w:position w:val="2"/>
                <w:sz w:val="24"/>
              </w:rPr>
              <w:t>Điều 8 của Quyết định này</w:t>
            </w:r>
            <w:bookmarkEnd w:id="4"/>
            <w:r>
              <w:rPr>
                <w:bCs/>
                <w:i/>
                <w:iCs/>
                <w:spacing w:val="-2"/>
                <w:position w:val="2"/>
                <w:sz w:val="24"/>
              </w:rPr>
              <w:t>.”</w:t>
            </w:r>
          </w:p>
          <w:p>
            <w:pPr>
              <w:ind w:firstLine="0"/>
              <w:jc w:val="left"/>
              <w:rPr>
                <w:b/>
                <w:color w:val="000000" w:themeColor="text1"/>
                <w:sz w:val="24"/>
              </w:rPr>
            </w:pPr>
          </w:p>
        </w:tc>
        <w:tc>
          <w:tcPr>
            <w:tcW w:w="6096" w:type="dxa"/>
          </w:tcPr>
          <w:p>
            <w:pPr>
              <w:shd w:val="clear" w:color="auto" w:fill="FFFFFF"/>
              <w:spacing w:line="276" w:lineRule="auto"/>
              <w:ind w:firstLine="0"/>
              <w:rPr>
                <w:sz w:val="24"/>
              </w:rPr>
            </w:pPr>
            <w:bookmarkStart w:id="5" w:name="dieu_7"/>
            <w:r>
              <w:rPr>
                <w:sz w:val="24"/>
              </w:rPr>
              <w:lastRenderedPageBreak/>
              <w:t>Điều 5. Nguyên tắc bố trí vốn đối ứng của ngân sách địa phương</w:t>
            </w:r>
            <w:bookmarkEnd w:id="5"/>
          </w:p>
          <w:p>
            <w:pPr>
              <w:shd w:val="clear" w:color="auto" w:fill="FFFFFF"/>
              <w:spacing w:line="276" w:lineRule="auto"/>
              <w:ind w:firstLine="0"/>
              <w:rPr>
                <w:sz w:val="24"/>
              </w:rPr>
            </w:pPr>
            <w:bookmarkStart w:id="6" w:name="dieu_8"/>
            <w:r>
              <w:rPr>
                <w:sz w:val="24"/>
              </w:rPr>
              <w:t>1. Tổng vốn đối ứng từ nguồn vốn ngân sách địa phương (tỉnh, xã) giai đoạn 2026-2030 của tỉnh Thanh Hoá phải đảm bảo theo quy định của Trung ương.</w:t>
            </w:r>
          </w:p>
          <w:p>
            <w:pPr>
              <w:shd w:val="clear" w:color="auto" w:fill="FFFFFF"/>
              <w:spacing w:line="276" w:lineRule="auto"/>
              <w:ind w:firstLine="0"/>
              <w:rPr>
                <w:sz w:val="24"/>
              </w:rPr>
            </w:pPr>
            <w:r>
              <w:rPr>
                <w:sz w:val="24"/>
              </w:rPr>
              <w:t>2. Bố trí đủ vốn ngân sách địa phương giai đoạn 2026-2030 theo quy định của Nghị quyết này để thực hiện các mục tiêu, nhiệm vụ đã được cấp có thẩm quyền phê duyệt.</w:t>
            </w:r>
          </w:p>
          <w:p>
            <w:pPr>
              <w:shd w:val="clear" w:color="auto" w:fill="FFFFFF"/>
              <w:spacing w:line="276" w:lineRule="auto"/>
              <w:ind w:firstLine="0"/>
              <w:rPr>
                <w:sz w:val="24"/>
              </w:rPr>
            </w:pPr>
            <w:r>
              <w:rPr>
                <w:sz w:val="24"/>
              </w:rPr>
              <w:t>3. Ngân sách tỉnh hỗ trợ theo thứ tự ưu tiên các xã đặc biệt khó khăn, xã vùng DTTS&amp;MN phấn đấu xây dựng nông thôn mới (NTM); các xã đặc biệt khó khăn, xã vùng DTTS&amp;MN còn lại; các xã phấn đấu xây dựng NTM, NTM hiện đại giai đoạn 2026-2030 được cấp có thẩm quyền quyết định; ngân sách xã tập trung nguồn lực để xây dựng NTM, NTM hiện đại, giảm nghèo bền vững, phát triển kinh tế xã hội vùng đồng bào DTTS&amp;MN nhằm hoàn thành mục tiêu, nhiệm vụ của Chương trình trên địa bàn tỉnh giai đoạn 2026-2030.</w:t>
            </w:r>
          </w:p>
          <w:p>
            <w:pPr>
              <w:shd w:val="clear" w:color="auto" w:fill="FFFFFF"/>
              <w:spacing w:line="276" w:lineRule="auto"/>
              <w:ind w:firstLine="0"/>
              <w:rPr>
                <w:sz w:val="24"/>
              </w:rPr>
            </w:pPr>
            <w:r>
              <w:rPr>
                <w:sz w:val="24"/>
              </w:rPr>
              <w:t xml:space="preserve">Điều 6. </w:t>
            </w:r>
            <w:bookmarkEnd w:id="6"/>
            <w:r>
              <w:rPr>
                <w:sz w:val="24"/>
              </w:rPr>
              <w:t>Quy định vốn đối ứng của ngân sách tỉnh</w:t>
            </w:r>
          </w:p>
          <w:p>
            <w:pPr>
              <w:shd w:val="clear" w:color="auto" w:fill="FFFFFF"/>
              <w:spacing w:line="276" w:lineRule="auto"/>
              <w:ind w:firstLine="0"/>
              <w:rPr>
                <w:sz w:val="24"/>
              </w:rPr>
            </w:pPr>
            <w:r>
              <w:rPr>
                <w:sz w:val="24"/>
              </w:rPr>
              <w:t>1. Căn cứ dự toán ngân sách tỉnh hằng năm, Hội đồng nhân dân tỉnh cân đối, bố trí nguồn vốn đối ứng thực hiện Chương trình, đảm bảo giai đoạn 2026-2030 bố trí đủ vốn đối ứng ngân sách tỉnh theo quy định.</w:t>
            </w:r>
          </w:p>
          <w:p>
            <w:pPr>
              <w:shd w:val="clear" w:color="auto" w:fill="FFFFFF"/>
              <w:spacing w:line="276" w:lineRule="auto"/>
              <w:ind w:firstLine="0"/>
              <w:rPr>
                <w:sz w:val="24"/>
              </w:rPr>
            </w:pPr>
            <w:r>
              <w:rPr>
                <w:sz w:val="24"/>
              </w:rPr>
              <w:lastRenderedPageBreak/>
              <w:t>2. Tiêu chí, định mức phân bổ như sau:</w:t>
            </w:r>
          </w:p>
          <w:p>
            <w:pPr>
              <w:shd w:val="clear" w:color="auto" w:fill="FFFFFF"/>
              <w:spacing w:line="276" w:lineRule="auto"/>
              <w:ind w:firstLine="0"/>
              <w:rPr>
                <w:sz w:val="24"/>
              </w:rPr>
            </w:pPr>
            <w:r>
              <w:rPr>
                <w:sz w:val="24"/>
              </w:rPr>
              <w:t>a) Vốn đối ứng ngân sách tỉnh hỗ trợ các xã đối ứng với nguồn ngân sách trung ương, trong đó, tập trung ưu tiên hỗ trợ các xã vùng DTTS&amp;MN (xã khu vực I, xã khu vực II, xã khu vực III) tính đến ngày 31/3/2026 theo Quyết định số 267/QĐ-UBND của UBND tỉnh và các xã phấn đấu đạt chuẩn NTM.</w:t>
            </w:r>
          </w:p>
          <w:p>
            <w:pPr>
              <w:shd w:val="clear" w:color="auto" w:fill="FFFFFF"/>
              <w:spacing w:line="276" w:lineRule="auto"/>
              <w:ind w:firstLine="0"/>
              <w:rPr>
                <w:sz w:val="24"/>
              </w:rPr>
            </w:pPr>
            <w:r>
              <w:rPr>
                <w:sz w:val="24"/>
              </w:rPr>
              <w:t>b) Hệ số, định mức phân bổ</w:t>
            </w:r>
          </w:p>
          <w:p>
            <w:pPr>
              <w:shd w:val="clear" w:color="auto" w:fill="FFFFFF"/>
              <w:spacing w:line="276" w:lineRule="auto"/>
              <w:ind w:firstLine="0"/>
              <w:rPr>
                <w:sz w:val="24"/>
              </w:rPr>
            </w:pPr>
            <w:r>
              <w:rPr>
                <w:sz w:val="24"/>
              </w:rPr>
              <w:t>- Hỗ trợ các xã khu vực III:</w:t>
            </w:r>
          </w:p>
          <w:p>
            <w:pPr>
              <w:shd w:val="clear" w:color="auto" w:fill="FFFFFF"/>
              <w:spacing w:line="276" w:lineRule="auto"/>
              <w:ind w:firstLine="0"/>
              <w:rPr>
                <w:sz w:val="24"/>
              </w:rPr>
            </w:pPr>
            <w:r>
              <w:rPr>
                <w:sz w:val="24"/>
              </w:rPr>
              <w:t xml:space="preserve">+ Hỗ trợ 28 xã phấn đấu xây dựng NTM giai đoạn 2026-2030: Hệ số 01 lần tổng vốn ngân sách Trung ương hỗ trợ. </w:t>
            </w:r>
          </w:p>
          <w:p>
            <w:pPr>
              <w:shd w:val="clear" w:color="auto" w:fill="FFFFFF"/>
              <w:spacing w:line="276" w:lineRule="auto"/>
              <w:ind w:firstLine="0"/>
              <w:rPr>
                <w:sz w:val="24"/>
              </w:rPr>
            </w:pPr>
            <w:r>
              <w:rPr>
                <w:sz w:val="24"/>
              </w:rPr>
              <w:t>+ Hỗ trợ 29 xã còn lại: Hệ số 0,5 lần tổng vốn ngân sách Trung ương hỗ trợ.</w:t>
            </w:r>
          </w:p>
          <w:p>
            <w:pPr>
              <w:shd w:val="clear" w:color="auto" w:fill="FFFFFF"/>
              <w:spacing w:line="276" w:lineRule="auto"/>
              <w:ind w:firstLine="0"/>
              <w:rPr>
                <w:sz w:val="24"/>
              </w:rPr>
            </w:pPr>
            <w:r>
              <w:rPr>
                <w:sz w:val="24"/>
              </w:rPr>
              <w:t>- Hỗ trợ 17 xã khu vực II phấn đấu xây dựng NTM giai đoạn 2026-2030: Hệ số 01 lần tổng vốn ngân sách Trung ương hỗ trợ.</w:t>
            </w:r>
          </w:p>
          <w:p>
            <w:pPr>
              <w:shd w:val="clear" w:color="auto" w:fill="FFFFFF"/>
              <w:spacing w:line="276" w:lineRule="auto"/>
              <w:ind w:firstLine="0"/>
              <w:rPr>
                <w:sz w:val="24"/>
              </w:rPr>
            </w:pPr>
            <w:r>
              <w:rPr>
                <w:sz w:val="24"/>
              </w:rPr>
              <w:t>- Hỗ trợ 04 xã khu vực I giai đoạn 2026-2030: Hệ số 01 lần tổng vốn ngân sách Trung ương hỗ trợ.</w:t>
            </w:r>
          </w:p>
          <w:p>
            <w:pPr>
              <w:shd w:val="clear" w:color="auto" w:fill="FFFFFF"/>
              <w:spacing w:line="276" w:lineRule="auto"/>
              <w:ind w:firstLine="0"/>
              <w:rPr>
                <w:sz w:val="24"/>
              </w:rPr>
            </w:pPr>
            <w:r>
              <w:rPr>
                <w:sz w:val="24"/>
              </w:rPr>
              <w:t>- Hỗ trợ 69 xã còn lại phấn phấn đấu xây dựng NTM giai đoạn 2026-2030: Hệ số 0,3 lần tổng vốn ngân sách Trung ương hỗ trợ.</w:t>
            </w:r>
          </w:p>
          <w:p>
            <w:pPr>
              <w:shd w:val="clear" w:color="auto" w:fill="FFFFFF"/>
              <w:spacing w:line="276" w:lineRule="auto"/>
              <w:ind w:firstLine="0"/>
              <w:rPr>
                <w:sz w:val="24"/>
              </w:rPr>
            </w:pPr>
            <w:r>
              <w:rPr>
                <w:sz w:val="24"/>
              </w:rPr>
              <w:t xml:space="preserve">c) Vốn đối ứng ngân sách tỉnh bố trí hỗ trợ cho các xã, các thôn/bản phấn đấu đạt chuẩn NTM, NTM hiện đại và hỗ trợ các chủ thể phát triển sản phẩm OCOP giai đoạn 2026-2030. </w:t>
            </w:r>
          </w:p>
          <w:p>
            <w:pPr>
              <w:shd w:val="clear" w:color="auto" w:fill="FFFFFF"/>
              <w:spacing w:line="276" w:lineRule="auto"/>
              <w:ind w:firstLine="0"/>
              <w:rPr>
                <w:sz w:val="24"/>
              </w:rPr>
            </w:pPr>
            <w:r>
              <w:rPr>
                <w:sz w:val="24"/>
              </w:rPr>
              <w:lastRenderedPageBreak/>
              <w:t>- Hỗ trợ các xã được công nhận đạt chuẩn nông thôn mới trong giai đoạn 2026-2030. Mức hỗ trợ 3.000 triệu đồng/xã.</w:t>
            </w:r>
          </w:p>
          <w:p>
            <w:pPr>
              <w:shd w:val="clear" w:color="auto" w:fill="FFFFFF"/>
              <w:spacing w:line="276" w:lineRule="auto"/>
              <w:ind w:firstLine="0"/>
              <w:rPr>
                <w:sz w:val="24"/>
              </w:rPr>
            </w:pPr>
            <w:r>
              <w:rPr>
                <w:sz w:val="24"/>
              </w:rPr>
              <w:t>- Hỗ trợ các thôn (bản) miền núi được công nhận đạt chuẩn nông thôn mới trong giai đoạn 2026-2030. Mức hỗ trợ 200 trđ/thôn (bản).</w:t>
            </w:r>
          </w:p>
          <w:p>
            <w:pPr>
              <w:shd w:val="clear" w:color="auto" w:fill="FFFFFF"/>
              <w:spacing w:line="276" w:lineRule="auto"/>
              <w:ind w:firstLine="0"/>
              <w:rPr>
                <w:sz w:val="24"/>
              </w:rPr>
            </w:pPr>
            <w:r>
              <w:rPr>
                <w:sz w:val="24"/>
              </w:rPr>
              <w:t xml:space="preserve">- Hỗ trợ chủ thể OCOP có sản phẩm OCOP đạt 3 sao, 4 sao và 5 sao được các cấp có thẩm quyền công nhận trong giai đoạn 2026-2030. </w:t>
            </w:r>
          </w:p>
          <w:p>
            <w:pPr>
              <w:shd w:val="clear" w:color="auto" w:fill="FFFFFF"/>
              <w:spacing w:line="276" w:lineRule="auto"/>
              <w:ind w:firstLine="0"/>
              <w:rPr>
                <w:sz w:val="24"/>
              </w:rPr>
            </w:pPr>
            <w:r>
              <w:rPr>
                <w:sz w:val="24"/>
              </w:rPr>
              <w:t>+ Đối với sản phẩm được đánh giá, công nhận lần đầu: Hỗ trợ 75 triệu đồng/sản phẩm đạt OCOP từ 3 sao trở lên;</w:t>
            </w:r>
          </w:p>
          <w:p>
            <w:pPr>
              <w:shd w:val="clear" w:color="auto" w:fill="FFFFFF"/>
              <w:spacing w:line="276" w:lineRule="auto"/>
              <w:ind w:firstLine="0"/>
              <w:rPr>
                <w:sz w:val="24"/>
              </w:rPr>
            </w:pPr>
            <w:r>
              <w:rPr>
                <w:sz w:val="24"/>
              </w:rPr>
              <w:t xml:space="preserve">+ Đối với sản phẩm đánh giá nâng hạng sao: Hỗ trợ khoản chênh lệch giữa các mức so với mức hỗ trợ đạt sao lần đầu, cụ thể: Hỗ trợ 50 triệu đồng/sản phẩm OCOP 3 sao nâng hạng lên 4 sao; hỗ trợ 50 triệu đồng/sản phẩm OCOP 4 sao nâng hạng lên 5 sao; hỗ trợ 75 triệu đồng/sản phẩm OCOP 3 sao nâng hạng lên 5 sao. </w:t>
            </w:r>
          </w:p>
          <w:p>
            <w:pPr>
              <w:shd w:val="clear" w:color="auto" w:fill="FFFFFF"/>
              <w:spacing w:line="276" w:lineRule="auto"/>
              <w:ind w:firstLine="0"/>
              <w:rPr>
                <w:sz w:val="24"/>
              </w:rPr>
            </w:pPr>
            <w:r>
              <w:rPr>
                <w:sz w:val="24"/>
              </w:rPr>
              <w:t>4. Nguồn vốn thực hiện: Cân đối từ nguồn thu tiền sử dụng đất điều tiết về ngân sách tỉnh giai đoạn 2026-2030 theo Nghị quyết số …. ngày ….của Hội đồng nhân dân tỉnh về việc quy định phân cấp nguồn thu, nhiệm vụ chi; tỷ lệ phần trăm phân chia nguồn thu giữa các cấp ngân sách địa phương giai đoạn 2026-2030 tỉnh Thanh Hoá; từ nguồn tăng thu, tiết kiệm chi và các nguồn huy động hợp pháp khác về ngân sách tỉnh theo quy định.</w:t>
            </w:r>
          </w:p>
          <w:p>
            <w:pPr>
              <w:shd w:val="clear" w:color="auto" w:fill="FFFFFF"/>
              <w:spacing w:line="276" w:lineRule="auto"/>
              <w:ind w:firstLine="0"/>
              <w:rPr>
                <w:sz w:val="24"/>
              </w:rPr>
            </w:pPr>
            <w:r>
              <w:rPr>
                <w:sz w:val="24"/>
              </w:rPr>
              <w:t xml:space="preserve">5. Hằng năm, căn cứ dự toán, kế hoạch vốn ngân sách tỉnh bố trí thực hiện Chương trình, trên cơ sở mục tiêu, nhiệm vụ </w:t>
            </w:r>
            <w:r>
              <w:rPr>
                <w:sz w:val="24"/>
              </w:rPr>
              <w:lastRenderedPageBreak/>
              <w:t>Chương trình, kết quả thực hiện nhiệm vụ và kết quả giải ngân vốn của các năm liền kề của các địa phương, điều kiện thực tế của tỉnh, Uỷ ban nhân dân tỉnh xây dựng phương án phân bổ vốn ngân sách tỉnh hằng năm cho cấp xã theo nguyên tắc hỗ trợ và tiêu chí, định mức phân bổ vốn được quy định tại Quy định này để thực hiện các mục tiêu, nhiệm vụ của Chương trình.</w:t>
            </w:r>
          </w:p>
          <w:p>
            <w:pPr>
              <w:shd w:val="clear" w:color="auto" w:fill="FFFFFF"/>
              <w:spacing w:line="276" w:lineRule="auto"/>
              <w:ind w:firstLine="0"/>
              <w:rPr>
                <w:sz w:val="24"/>
              </w:rPr>
            </w:pPr>
            <w:r>
              <w:rPr>
                <w:sz w:val="24"/>
              </w:rPr>
              <w:t>Điều 7. Quy định tỷ lệ vốn đối ứng của ngân sách xã</w:t>
            </w:r>
          </w:p>
          <w:p>
            <w:pPr>
              <w:shd w:val="clear" w:color="auto" w:fill="FFFFFF"/>
              <w:spacing w:line="276" w:lineRule="auto"/>
              <w:ind w:firstLine="0"/>
              <w:rPr>
                <w:sz w:val="24"/>
              </w:rPr>
            </w:pPr>
            <w:r>
              <w:rPr>
                <w:sz w:val="24"/>
              </w:rPr>
              <w:t>- 78 xã vùng đồng bào DTTS&amp;MN (xã khu vực I, xã khu vực II, xã khu vực III theo Quyết định số 267/QĐ-UBND): Hằng năm, trên cơ sở khả năng ngân sách địa phương để cân đối bố trí thêm thực hiện Chương trình.</w:t>
            </w:r>
          </w:p>
          <w:p>
            <w:pPr>
              <w:shd w:val="clear" w:color="auto" w:fill="FFFFFF"/>
              <w:spacing w:line="276" w:lineRule="auto"/>
              <w:ind w:firstLine="0"/>
              <w:rPr>
                <w:sz w:val="24"/>
              </w:rPr>
            </w:pPr>
            <w:r>
              <w:rPr>
                <w:sz w:val="24"/>
              </w:rPr>
              <w:t xml:space="preserve">- Các xã còn lại (69 xã): Hằng năm ngân sách địa phương đối ứng tối thiểu gấp 2 lần tổng vốn ngân sách Trung ương hỗ trợ thực hiện Chương trình. </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Điều 8. Dự kiến nhu cầu vốn thực hiện Chương trình</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bookmarkStart w:id="7" w:name="_Hlk229299423"/>
            <w:r>
              <w:rPr>
                <w:sz w:val="24"/>
              </w:rPr>
              <w:t>1. Ngân sách Trung ương hỗ trợ trực tiếp Chương trình: 5.507,76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2. Ngân sách địa phương (tỉnh, xã): 6.877,2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 Ngân sách tỉnh: 3.441,307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 Ngân sách xã: 3.435,893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3. Vốn lồng ghép: 5.127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4. Vốn tín dụng: 5.842 tỷ đồng.</w:t>
            </w:r>
          </w:p>
          <w:p>
            <w:pPr>
              <w:widowControl w:val="0"/>
              <w:pBdr>
                <w:top w:val="dotted" w:sz="4" w:space="0" w:color="FFFFFF"/>
                <w:left w:val="dotted" w:sz="4" w:space="0" w:color="FFFFFF"/>
                <w:bottom w:val="dotted" w:sz="4" w:space="13" w:color="FFFFFF"/>
                <w:right w:val="dotted" w:sz="4" w:space="1" w:color="FFFFFF"/>
              </w:pBdr>
              <w:shd w:val="clear" w:color="auto" w:fill="FFFFFF"/>
              <w:spacing w:line="276" w:lineRule="auto"/>
              <w:ind w:firstLine="0"/>
              <w:rPr>
                <w:sz w:val="24"/>
              </w:rPr>
            </w:pPr>
            <w:r>
              <w:rPr>
                <w:sz w:val="24"/>
              </w:rPr>
              <w:t xml:space="preserve">5. Vốn doanh nghiệp và huy động từ cộng đồng: 5.777 tỷ </w:t>
            </w:r>
            <w:r>
              <w:rPr>
                <w:sz w:val="24"/>
              </w:rPr>
              <w:lastRenderedPageBreak/>
              <w:t>đồng</w:t>
            </w:r>
            <w:bookmarkEnd w:id="7"/>
            <w:r>
              <w:rPr>
                <w:sz w:val="24"/>
              </w:rPr>
              <w:t>.</w:t>
            </w:r>
          </w:p>
        </w:tc>
        <w:tc>
          <w:tcPr>
            <w:tcW w:w="5119" w:type="dxa"/>
          </w:tcPr>
          <w:p>
            <w:pPr>
              <w:ind w:firstLine="0"/>
              <w:rPr>
                <w:sz w:val="24"/>
              </w:rPr>
            </w:pPr>
            <w:r>
              <w:rPr>
                <w:sz w:val="24"/>
              </w:rPr>
              <w:lastRenderedPageBreak/>
              <w:t>Cụ thể hóa trách nhiệm đối ứng theo 3 nhóm xã; các xã càng có năng lực tài chính cao thì trách nhiệm đối ứng càng lớn; bảo đảm công bằng và bền vững tài khóa.</w:t>
            </w:r>
          </w:p>
          <w:p>
            <w:pPr>
              <w:shd w:val="clear" w:color="auto" w:fill="FFFFFF"/>
              <w:spacing w:line="276" w:lineRule="auto"/>
              <w:ind w:firstLine="0"/>
              <w:rPr>
                <w:bCs/>
                <w:i/>
                <w:sz w:val="24"/>
              </w:rPr>
            </w:pPr>
            <w:r>
              <w:rPr>
                <w:bCs/>
                <w:i/>
                <w:sz w:val="24"/>
              </w:rPr>
              <w:t>Căn cứ mục tiêu xây dựng NTM, phấn đấu đến năm 2030, toàn tỉnh có 80% số xã đạt chuẩn NTM, tương ứng với 118 xã, gồm: 69/69 (100%) xã vùng đồng bằng; 4/4 (100%) xã khu vực I; 17/17 (100%) xã khu vực II; 28/57 (49%) xã khu vực III; có 158 thôn/bản miền núi đạt chuẩn NTM; có 328 sản phẩm OCOP (được công nhận và nâng hạng)</w:t>
            </w:r>
          </w:p>
          <w:p>
            <w:pPr>
              <w:shd w:val="clear" w:color="auto" w:fill="FFFFFF"/>
              <w:spacing w:line="276" w:lineRule="auto"/>
              <w:ind w:firstLine="0"/>
              <w:rPr>
                <w:bCs/>
                <w:i/>
                <w:sz w:val="24"/>
              </w:rPr>
            </w:pPr>
            <w:r>
              <w:rPr>
                <w:bCs/>
                <w:i/>
                <w:sz w:val="24"/>
              </w:rPr>
              <w:t>Các xã vùng đồng bào DTTS và miền núi (78 xã) điều kiện khó khăn, chưa tự cân đối được ngân sách; hạ tầng kinh tế - xã hội còn thiếu, chưa đáp ứng được yêu cầu; trong khi suất đầu tư lớn (do vị trí địa lý, địa hình chia cắt, độ dốc lớn, giá nguyên vật liệu cao…). Vì vậy, không có điều kiện để đối ứng, cần sự hỗ trợ từ ngân sách tỉnh để đạt mục tiêu Chương trình.</w:t>
            </w:r>
          </w:p>
          <w:p>
            <w:pPr>
              <w:shd w:val="clear" w:color="auto" w:fill="FFFFFF"/>
              <w:spacing w:line="276" w:lineRule="auto"/>
              <w:ind w:firstLine="0"/>
              <w:rPr>
                <w:bCs/>
                <w:i/>
                <w:sz w:val="24"/>
              </w:rPr>
            </w:pPr>
            <w:r>
              <w:rPr>
                <w:bCs/>
                <w:i/>
                <w:sz w:val="24"/>
              </w:rPr>
              <w:t>Theo dự kiến của Trung ương, vốn địa phương (Thanh Hóa) đối ứng tối thiểu 125% (tương ứng 1,25 lần) so với số vốn ngân sách Trung ương hỗ trợ tỉnh giai đoạn 2026-2030</w:t>
            </w:r>
            <w:r>
              <w:rPr>
                <w:rStyle w:val="FootnoteReference"/>
                <w:bCs/>
                <w:i/>
                <w:sz w:val="24"/>
              </w:rPr>
              <w:footnoteReference w:id="2"/>
            </w:r>
            <w:r>
              <w:rPr>
                <w:bCs/>
                <w:i/>
                <w:sz w:val="24"/>
              </w:rPr>
              <w:t xml:space="preserve">. </w:t>
            </w:r>
          </w:p>
          <w:p>
            <w:pPr>
              <w:ind w:firstLine="0"/>
              <w:rPr>
                <w:color w:val="000000" w:themeColor="text1"/>
                <w:sz w:val="24"/>
              </w:rPr>
            </w:pPr>
            <w:r>
              <w:rPr>
                <w:bCs/>
                <w:i/>
                <w:sz w:val="24"/>
              </w:rPr>
              <w:lastRenderedPageBreak/>
              <w:t>Theo đó, đề xuất ngân sách tỉnh hỗ trợ cho các xã vùng đồng bào dân tộc thiểu số và miền núi (xã khu vực I, II, III), các xã phấn đấu đạt chuẩn NTM và phát triển sản phẩm OCOP trong giai đoạn 2026-2030. Để động viên, khuyến khích các địa phương thực hiện Chương trình, đồng thời, đảm bảo tỷ lệ vốn đối ứng theo quy định.</w:t>
            </w:r>
          </w:p>
        </w:tc>
      </w:tr>
      <w:tr>
        <w:trPr>
          <w:trHeight w:val="1943"/>
          <w:jc w:val="center"/>
        </w:trPr>
        <w:tc>
          <w:tcPr>
            <w:tcW w:w="3397" w:type="dxa"/>
          </w:tcPr>
          <w:p>
            <w:pPr>
              <w:ind w:firstLine="0"/>
              <w:jc w:val="left"/>
              <w:rPr>
                <w:sz w:val="24"/>
              </w:rPr>
            </w:pPr>
            <w:r>
              <w:rPr>
                <w:sz w:val="24"/>
              </w:rPr>
              <w:lastRenderedPageBreak/>
              <w:t>Nghị định về cơ chế quản lý các Chương trình MTQG</w:t>
            </w:r>
          </w:p>
        </w:tc>
        <w:tc>
          <w:tcPr>
            <w:tcW w:w="6096" w:type="dxa"/>
          </w:tcPr>
          <w:p>
            <w:pPr>
              <w:shd w:val="clear" w:color="auto" w:fill="FFFFFF"/>
              <w:ind w:firstLine="166"/>
              <w:rPr>
                <w:b/>
                <w:bCs/>
                <w:color w:val="000000"/>
                <w:sz w:val="24"/>
              </w:rPr>
            </w:pPr>
            <w:r>
              <w:rPr>
                <w:sz w:val="24"/>
              </w:rPr>
              <w:t>Quy định không trùng lặp, chồng chéo nội dung chi</w:t>
            </w:r>
          </w:p>
        </w:tc>
        <w:tc>
          <w:tcPr>
            <w:tcW w:w="5119" w:type="dxa"/>
          </w:tcPr>
          <w:p>
            <w:pPr>
              <w:ind w:firstLine="0"/>
              <w:rPr>
                <w:sz w:val="24"/>
              </w:rPr>
            </w:pPr>
            <w:r>
              <w:rPr>
                <w:sz w:val="24"/>
              </w:rPr>
              <w:t>Dự thảo không quy định nội dung chi cụ thể; chỉ quy định nguyên tắc và phương thức phân bổ; bảo đảm thống nhất với cơ chế quản lý các Chương trình MTQG; tránh chồng chéo với chương trình khác.</w:t>
            </w:r>
          </w:p>
        </w:tc>
      </w:tr>
      <w:tr>
        <w:trPr>
          <w:trHeight w:val="1943"/>
          <w:jc w:val="center"/>
        </w:trPr>
        <w:tc>
          <w:tcPr>
            <w:tcW w:w="3397" w:type="dxa"/>
          </w:tcPr>
          <w:p>
            <w:pPr>
              <w:ind w:firstLine="0"/>
              <w:jc w:val="left"/>
              <w:rPr>
                <w:sz w:val="24"/>
              </w:rPr>
            </w:pPr>
            <w:r>
              <w:rPr>
                <w:sz w:val="24"/>
              </w:rPr>
              <w:t>Chủ trương cải cách hành chính; kiểm soát TTHC</w:t>
            </w:r>
          </w:p>
        </w:tc>
        <w:tc>
          <w:tcPr>
            <w:tcW w:w="6096" w:type="dxa"/>
          </w:tcPr>
          <w:p>
            <w:pPr>
              <w:shd w:val="clear" w:color="auto" w:fill="FFFFFF"/>
              <w:ind w:firstLine="166"/>
              <w:rPr>
                <w:b/>
                <w:bCs/>
                <w:color w:val="000000"/>
                <w:sz w:val="24"/>
              </w:rPr>
            </w:pPr>
            <w:r>
              <w:rPr>
                <w:sz w:val="24"/>
              </w:rPr>
              <w:t>Cơ chế giao tổng mức, phân cấp phân bổ chi tiết</w:t>
            </w:r>
          </w:p>
        </w:tc>
        <w:tc>
          <w:tcPr>
            <w:tcW w:w="5119" w:type="dxa"/>
          </w:tcPr>
          <w:p>
            <w:pPr>
              <w:ind w:firstLine="0"/>
              <w:rPr>
                <w:sz w:val="24"/>
              </w:rPr>
            </w:pPr>
            <w:r>
              <w:rPr>
                <w:sz w:val="24"/>
              </w:rPr>
              <w:t>Không phát sinh thủ tục hành chính mới; giảm hồ sơ trình trung ương, trình tỉnh; tăng tính chủ động của địa phương; phù hợp yêu cầu đơn giản hóa, cắt giảm TTHC.</w:t>
            </w:r>
          </w:p>
        </w:tc>
      </w:tr>
      <w:tr>
        <w:trPr>
          <w:trHeight w:val="1943"/>
          <w:jc w:val="center"/>
        </w:trPr>
        <w:tc>
          <w:tcPr>
            <w:tcW w:w="3397" w:type="dxa"/>
          </w:tcPr>
          <w:p>
            <w:pPr>
              <w:ind w:firstLine="0"/>
              <w:jc w:val="left"/>
              <w:rPr>
                <w:sz w:val="24"/>
              </w:rPr>
            </w:pPr>
            <w:r>
              <w:rPr>
                <w:sz w:val="24"/>
              </w:rPr>
              <w:t>Chủ trương chuyển đổi số, quản trị dựa trên dữ liệu</w:t>
            </w:r>
          </w:p>
        </w:tc>
        <w:tc>
          <w:tcPr>
            <w:tcW w:w="6096" w:type="dxa"/>
          </w:tcPr>
          <w:p>
            <w:pPr>
              <w:shd w:val="clear" w:color="auto" w:fill="FFFFFF"/>
              <w:ind w:firstLine="166"/>
              <w:rPr>
                <w:b/>
                <w:bCs/>
                <w:color w:val="000000"/>
                <w:sz w:val="24"/>
              </w:rPr>
            </w:pPr>
            <w:r>
              <w:rPr>
                <w:sz w:val="24"/>
              </w:rPr>
              <w:t>Thiết kế tiêu chí, hệ số định lượng</w:t>
            </w:r>
          </w:p>
        </w:tc>
        <w:tc>
          <w:tcPr>
            <w:tcW w:w="5119" w:type="dxa"/>
          </w:tcPr>
          <w:p>
            <w:pPr>
              <w:ind w:firstLine="0"/>
              <w:rPr>
                <w:sz w:val="24"/>
              </w:rPr>
            </w:pPr>
            <w:r>
              <w:rPr>
                <w:sz w:val="24"/>
              </w:rPr>
              <w:t>Hệ thống tiêu chí, hệ số được lượng hóa rõ ràng, tạo điều kiện ứng dụng công nghệ thông tin, số hóa dữ liệu phân bổ; tăng tính minh bạch và khả năng giám sát điện tử; thúc đẩy chuyển đổi số trong quản lý Chương trình.</w:t>
            </w:r>
          </w:p>
        </w:tc>
      </w:tr>
      <w:tr>
        <w:trPr>
          <w:trHeight w:val="1943"/>
          <w:jc w:val="center"/>
        </w:trPr>
        <w:tc>
          <w:tcPr>
            <w:tcW w:w="3397" w:type="dxa"/>
          </w:tcPr>
          <w:p>
            <w:pPr>
              <w:ind w:firstLine="0"/>
              <w:jc w:val="left"/>
              <w:rPr>
                <w:sz w:val="24"/>
              </w:rPr>
            </w:pPr>
            <w:r>
              <w:rPr>
                <w:sz w:val="24"/>
              </w:rPr>
              <w:t>Chính sách dân tộc; nguyên tắc bình đẳng giới trong pháp luật</w:t>
            </w:r>
          </w:p>
        </w:tc>
        <w:tc>
          <w:tcPr>
            <w:tcW w:w="6096" w:type="dxa"/>
          </w:tcPr>
          <w:p>
            <w:pPr>
              <w:shd w:val="clear" w:color="auto" w:fill="FFFFFF"/>
              <w:ind w:firstLine="166"/>
              <w:rPr>
                <w:b/>
                <w:bCs/>
                <w:color w:val="000000"/>
                <w:sz w:val="24"/>
              </w:rPr>
            </w:pPr>
            <w:r>
              <w:rPr>
                <w:sz w:val="24"/>
              </w:rPr>
              <w:t>Ưu tiên xã, thôn ĐBKK, vùng DTTS&amp;MN; không phân biệt giới trong tiếp cận nguồn lực</w:t>
            </w:r>
          </w:p>
        </w:tc>
        <w:tc>
          <w:tcPr>
            <w:tcW w:w="5119" w:type="dxa"/>
          </w:tcPr>
          <w:p>
            <w:pPr>
              <w:ind w:firstLine="0"/>
              <w:rPr>
                <w:sz w:val="24"/>
              </w:rPr>
            </w:pPr>
            <w:r>
              <w:rPr>
                <w:sz w:val="24"/>
              </w:rPr>
              <w:t>Quy định ưu tiên địa bàn vùng DTTS&amp;MN bảo đảm thực hiện chính sách dân tộc theo chủ trương của Đảng và Nhà nước; không có nội dung phân biệt đối xử về giới; bảo đảm tiếp cận nguồn lực bình đẳng cho phụ nữ và nhóm yếu thế theo quy định pháp luật.</w:t>
            </w:r>
          </w:p>
        </w:tc>
      </w:tr>
    </w:tbl>
    <w:p>
      <w:pPr>
        <w:rPr>
          <w:color w:val="000000" w:themeColor="text1"/>
        </w:rPr>
      </w:pPr>
    </w:p>
    <w:sectPr>
      <w:headerReference w:type="default" r:id="rId10"/>
      <w:pgSz w:w="16840" w:h="11907" w:orient="landscape" w:code="9"/>
      <w:pgMar w:top="1134" w:right="1134" w:bottom="851"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before="0" w:after="0"/>
      </w:pPr>
      <w:r>
        <w:separator/>
      </w:r>
    </w:p>
  </w:endnote>
  <w:endnote w:type="continuationSeparator" w:id="0">
    <w:p>
      <w:pPr>
        <w:spacing w:before="0" w:after="0"/>
      </w:pPr>
      <w:r>
        <w:continuationSeparator/>
      </w:r>
    </w:p>
  </w:endnote>
  <w:endnote w:type="continuationNotice" w:id="1">
    <w:p>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before="0" w:after="0"/>
      </w:pPr>
      <w:r>
        <w:separator/>
      </w:r>
    </w:p>
  </w:footnote>
  <w:footnote w:type="continuationSeparator" w:id="0">
    <w:p>
      <w:pPr>
        <w:spacing w:before="0" w:after="0"/>
      </w:pPr>
      <w:r>
        <w:continuationSeparator/>
      </w:r>
    </w:p>
  </w:footnote>
  <w:footnote w:type="continuationNotice" w:id="1">
    <w:p>
      <w:pPr>
        <w:spacing w:before="0" w:after="0"/>
      </w:pPr>
    </w:p>
  </w:footnote>
  <w:footnote w:id="2">
    <w:p>
      <w:pPr>
        <w:pStyle w:val="FootnoteText"/>
        <w:rPr>
          <w:lang w:val="en-US"/>
        </w:rPr>
      </w:pPr>
      <w:r>
        <w:rPr>
          <w:rStyle w:val="FootnoteReference"/>
        </w:rPr>
        <w:footnoteRef/>
      </w:r>
      <w:r>
        <w:t xml:space="preserve"> </w:t>
      </w:r>
      <w:r>
        <w:rPr>
          <w:bCs/>
          <w:iCs/>
          <w:szCs w:val="28"/>
        </w:rPr>
        <w:t>Công văn số 4341/BNNMT-VPĐP ngày 04/5/2026 của Bộ Nông nghiệp và Môi trường về việc cho ý kiến về phương án phân bổ ngân sách trung ương và tỷ lệ đối ứng ngân sách của địa phương thực hiện Chương trình MTQG xây dựng nông thôn mới, giảm nghèo bền vững và phát triển KTXH vùng đồng bào DTTS&amp;MN giai đoạn 2026-2030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spacing w:after="0"/>
      <w:ind w:firstLine="0"/>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13</w:t>
    </w:r>
    <w:r>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4"/>
  </w:num>
  <w:num w:numId="4">
    <w:abstractNumId w:val="5"/>
  </w:num>
  <w:num w:numId="5">
    <w:abstractNumId w:val="7"/>
  </w:num>
  <w:num w:numId="6">
    <w:abstractNumId w:val="6"/>
  </w:num>
  <w:num w:numId="7">
    <w:abstractNumId w:val="9"/>
  </w:num>
  <w:num w:numId="8">
    <w:abstractNumId w:val="0"/>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revisionView w:inkAnnotation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pPr>
      <w:keepNext/>
      <w:outlineLvl w:val="0"/>
    </w:pPr>
    <w:rPr>
      <w:b/>
      <w:bCs/>
      <w:kern w:val="32"/>
      <w:szCs w:val="32"/>
      <w:lang w:val="x-none" w:eastAsia="x-none"/>
    </w:rPr>
  </w:style>
  <w:style w:type="paragraph" w:styleId="Heading2">
    <w:name w:val="heading 2"/>
    <w:basedOn w:val="Normal"/>
    <w:next w:val="Normal"/>
    <w:link w:val="Heading2Char"/>
    <w:autoRedefine/>
    <w:qFormat/>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pPr>
      <w:keepNext/>
      <w:outlineLvl w:val="2"/>
    </w:pPr>
    <w:rPr>
      <w:b/>
      <w:bCs/>
      <w:i/>
      <w:szCs w:val="26"/>
      <w:lang w:val="x-none" w:eastAsia="x-none"/>
    </w:rPr>
  </w:style>
  <w:style w:type="paragraph" w:styleId="Heading5">
    <w:name w:val="heading 5"/>
    <w:basedOn w:val="Normal"/>
    <w:next w:val="Normal"/>
    <w:link w:val="Heading5Char"/>
    <w:qFormat/>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Pr>
      <w:rFonts w:ascii="Calibri" w:eastAsia="Times New Roman" w:hAnsi="Calibri" w:cs="Times New Roman"/>
      <w:b/>
      <w:bCs/>
      <w:i/>
      <w:iCs/>
      <w:sz w:val="26"/>
      <w:szCs w:val="26"/>
      <w:lang w:val="x-none" w:eastAsia="x-none"/>
    </w:rPr>
  </w:style>
  <w:style w:type="table" w:styleId="TableGrid">
    <w:name w:val="Table Grid"/>
    <w:basedOn w:val="TableNormal"/>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pPr>
      <w:tabs>
        <w:tab w:val="center" w:pos="4680"/>
        <w:tab w:val="right" w:pos="9360"/>
      </w:tabs>
    </w:pPr>
    <w:rPr>
      <w:sz w:val="24"/>
      <w:lang w:val="x-none" w:eastAsia="x-none"/>
    </w:rPr>
  </w:style>
  <w:style w:type="character" w:customStyle="1" w:styleId="HeaderChar">
    <w:name w:val="Header Char"/>
    <w:link w:val="Header"/>
    <w:uiPriority w:val="99"/>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pPr>
      <w:tabs>
        <w:tab w:val="center" w:pos="4680"/>
        <w:tab w:val="right" w:pos="9360"/>
      </w:tabs>
    </w:pPr>
    <w:rPr>
      <w:sz w:val="24"/>
      <w:lang w:val="x-none" w:eastAsia="x-none"/>
    </w:rPr>
  </w:style>
  <w:style w:type="character" w:customStyle="1" w:styleId="FooterChar">
    <w:name w:val="Footer Char"/>
    <w:link w:val="Footer"/>
    <w:uiPriority w:val="99"/>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pPr>
      <w:spacing w:after="160" w:line="240" w:lineRule="exact"/>
    </w:pPr>
    <w:rPr>
      <w:szCs w:val="22"/>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customStyle="1" w:styleId="BalloonTextChar">
    <w:name w:val="Balloon Text Char"/>
    <w:link w:val="BalloonText"/>
    <w:uiPriority w:val="99"/>
    <w:semiHidden/>
    <w:rPr>
      <w:rFonts w:ascii="Tahoma" w:eastAsia="Times New Roman" w:hAnsi="Tahoma" w:cs="Times New Roman"/>
      <w:sz w:val="16"/>
      <w:szCs w:val="16"/>
      <w:lang w:val="x-none" w:eastAsia="x-none"/>
    </w:rPr>
  </w:style>
  <w:style w:type="character" w:styleId="Hyperlink">
    <w:name w:val="Hyperlink"/>
    <w:rPr>
      <w:color w:val="0000FF"/>
      <w:u w:val="single"/>
    </w:rPr>
  </w:style>
  <w:style w:type="paragraph" w:styleId="BodyTextIndent">
    <w:name w:val="Body Text Indent"/>
    <w:basedOn w:val="Normal"/>
    <w:link w:val="BodyTextIndentChar"/>
    <w:pPr>
      <w:ind w:left="283"/>
    </w:pPr>
    <w:rPr>
      <w:sz w:val="24"/>
      <w:lang w:val="x-none" w:eastAsia="x-none"/>
    </w:rPr>
  </w:style>
  <w:style w:type="character" w:customStyle="1" w:styleId="BodyTextIndentChar">
    <w:name w:val="Body Text Indent Char"/>
    <w:link w:val="BodyTextIndent"/>
    <w:rPr>
      <w:rFonts w:ascii="Times New Roman" w:eastAsia="Times New Roman" w:hAnsi="Times New Roman" w:cs="Times New Roman"/>
      <w:sz w:val="24"/>
      <w:szCs w:val="24"/>
      <w:lang w:val="x-none" w:eastAsia="x-none"/>
    </w:rPr>
  </w:style>
  <w:style w:type="paragraph" w:styleId="NormalWeb">
    <w:name w:val="Normal (Web)"/>
    <w:aliases w:val="Обычный (веб)1,Обычный (веб) Знак,Обычный (веб) Знак1,Обычный (веб) Знак Знак,Char Char Char, Char Char Char"/>
    <w:basedOn w:val="Normal"/>
    <w:link w:val="NormalWebChar"/>
    <w:uiPriority w:val="99"/>
    <w:unhideWhenUsed/>
    <w:qFormat/>
    <w:pPr>
      <w:spacing w:before="100" w:beforeAutospacing="1" w:after="100" w:afterAutospacing="1"/>
    </w:pPr>
  </w:style>
  <w:style w:type="paragraph" w:styleId="BodyTextIndent3">
    <w:name w:val="Body Text Indent 3"/>
    <w:basedOn w:val="Normal"/>
    <w:link w:val="BodyTextIndent3Char"/>
    <w:pPr>
      <w:ind w:left="360"/>
    </w:pPr>
    <w:rPr>
      <w:sz w:val="16"/>
      <w:szCs w:val="16"/>
      <w:lang w:val="x-none" w:eastAsia="x-none"/>
    </w:rPr>
  </w:style>
  <w:style w:type="character" w:customStyle="1" w:styleId="BodyTextIndent3Char">
    <w:name w:val="Body Text Indent 3 Char"/>
    <w:link w:val="BodyTextIndent3"/>
    <w:rPr>
      <w:rFonts w:ascii="Times New Roman" w:eastAsia="Times New Roman" w:hAnsi="Times New Roman" w:cs="Times New Roman"/>
      <w:sz w:val="16"/>
      <w:szCs w:val="16"/>
      <w:lang w:val="x-none" w:eastAsia="x-none"/>
    </w:rPr>
  </w:style>
  <w:style w:type="paragraph" w:styleId="Caption">
    <w:name w:val="caption"/>
    <w:basedOn w:val="Normal"/>
    <w:next w:val="Normal"/>
    <w:qFormat/>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Pr>
      <w:vertAlign w:val="superscript"/>
    </w:rPr>
  </w:style>
  <w:style w:type="character" w:styleId="Strong">
    <w:name w:val="Strong"/>
    <w:qFormat/>
    <w:rPr>
      <w:b/>
      <w:bCs/>
    </w:rPr>
  </w:style>
  <w:style w:type="paragraph" w:styleId="BodyText">
    <w:name w:val="Body Text"/>
    <w:basedOn w:val="Normal"/>
    <w:link w:val="BodyTextChar"/>
    <w:rPr>
      <w:lang w:val="x-none" w:eastAsia="x-none"/>
    </w:rPr>
  </w:style>
  <w:style w:type="character" w:customStyle="1" w:styleId="BodyTextChar">
    <w:name w:val="Body Text Char"/>
    <w:link w:val="BodyText"/>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Pr>
      <w:rFonts w:ascii="Times New Roman" w:eastAsia="Times New Roman" w:hAnsi="Times New Roman"/>
      <w:sz w:val="28"/>
      <w:szCs w:val="24"/>
    </w:rPr>
  </w:style>
  <w:style w:type="paragraph" w:styleId="ListParagraph">
    <w:name w:val="List Paragraph"/>
    <w:basedOn w:val="Normal"/>
    <w:uiPriority w:val="34"/>
    <w:qFormat/>
    <w:pPr>
      <w:ind w:left="720"/>
      <w:contextualSpacing/>
    </w:pPr>
  </w:style>
  <w:style w:type="character" w:customStyle="1" w:styleId="Hyperlink3">
    <w:name w:val="Hyperlink.3"/>
    <w:rPr>
      <w:rFonts w:ascii="Times New Roman" w:eastAsia="Times New Roman" w:hAnsi="Times New Roman" w:cs="Times New Roman"/>
      <w:color w:val="000000"/>
      <w:sz w:val="28"/>
      <w:szCs w:val="28"/>
      <w:u w:color="000000"/>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w:link w:val="NormalWeb"/>
    <w:uiPriority w:val="99"/>
    <w:locked/>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tai-chinh-nha-nuoc/quyet-dinh-07-2022-qd-ttg-von-ngan-sach-chuong-trinh-muc-tieu-xay-dung-nong-thon-moi-50800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C91D-A180-44AD-B46E-D5B5AFB84F1A}">
  <ds:schemaRefs>
    <ds:schemaRef ds:uri="http://schemas.openxmlformats.org/officeDocument/2006/bibliography"/>
  </ds:schemaRefs>
</ds:datastoreItem>
</file>

<file path=customXml/itemProps2.xml><?xml version="1.0" encoding="utf-8"?>
<ds:datastoreItem xmlns:ds="http://schemas.openxmlformats.org/officeDocument/2006/customXml" ds:itemID="{E6F69BDD-6743-4AA1-9088-4B083C1C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10</Pages>
  <Words>2730</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1941</cp:revision>
  <cp:lastPrinted>2022-02-27T09:33:00Z</cp:lastPrinted>
  <dcterms:created xsi:type="dcterms:W3CDTF">2022-02-27T09:33:00Z</dcterms:created>
  <dcterms:modified xsi:type="dcterms:W3CDTF">2026-05-18T09:26:00Z</dcterms:modified>
</cp:coreProperties>
</file>