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2" w:type="dxa"/>
        <w:jc w:val="center"/>
        <w:tblLook w:val="01E0" w:firstRow="1" w:lastRow="1" w:firstColumn="1" w:lastColumn="1" w:noHBand="0" w:noVBand="0"/>
      </w:tblPr>
      <w:tblGrid>
        <w:gridCol w:w="4866"/>
        <w:gridCol w:w="5766"/>
      </w:tblGrid>
      <w:tr>
        <w:trPr>
          <w:trHeight w:val="863"/>
          <w:jc w:val="center"/>
        </w:trPr>
        <w:tc>
          <w:tcPr>
            <w:tcW w:w="4866" w:type="dxa"/>
          </w:tcPr>
          <w:p>
            <w:pPr>
              <w:spacing w:before="0" w:after="0"/>
              <w:ind w:firstLine="0"/>
              <w:jc w:val="center"/>
              <w:rPr>
                <w:color w:val="000000" w:themeColor="text1"/>
                <w:sz w:val="26"/>
              </w:rPr>
            </w:pPr>
            <w:r>
              <w:rPr>
                <w:color w:val="000000" w:themeColor="text1"/>
                <w:sz w:val="26"/>
              </w:rPr>
              <w:t>UỶ BAN NHÂN DÂN</w:t>
            </w:r>
          </w:p>
          <w:p>
            <w:pPr>
              <w:spacing w:before="0" w:after="0"/>
              <w:ind w:firstLine="0"/>
              <w:jc w:val="center"/>
              <w:rPr>
                <w:color w:val="000000" w:themeColor="text1"/>
                <w:sz w:val="26"/>
              </w:rPr>
            </w:pPr>
            <w:bookmarkStart w:id="0" w:name="_GoBack"/>
            <w:bookmarkEnd w:id="0"/>
            <w:r>
              <w:rPr>
                <w:color w:val="000000" w:themeColor="text1"/>
                <w:sz w:val="26"/>
              </w:rPr>
              <w:t>TỈNH THANH HOÁ</w:t>
            </w:r>
          </w:p>
          <w:p>
            <w:pPr>
              <w:spacing w:before="0" w:after="0"/>
              <w:ind w:firstLine="0"/>
              <w:jc w:val="center"/>
              <w:rPr>
                <w:b/>
                <w:bCs/>
                <w:color w:val="000000" w:themeColor="text1"/>
                <w:sz w:val="26"/>
              </w:rPr>
            </w:pPr>
            <w:r>
              <w:rPr>
                <w:b/>
                <w:bCs/>
                <w:color w:val="000000" w:themeColor="text1"/>
                <w:sz w:val="26"/>
              </w:rPr>
              <w:t>SỞ NÔNG NGIỆP VÀ MÔI TRƯỜNG</w:t>
            </w:r>
          </w:p>
          <w:p>
            <w:pPr>
              <w:spacing w:before="0" w:after="0"/>
              <w:ind w:firstLine="0"/>
              <w:jc w:val="center"/>
              <w:rPr>
                <w:b/>
                <w:bCs/>
                <w:color w:val="000000" w:themeColor="text1"/>
              </w:rPr>
            </w:pPr>
            <w:r>
              <w:rPr>
                <w:noProof/>
                <w:color w:val="000000" w:themeColor="text1"/>
                <w:sz w:val="26"/>
              </w:rPr>
              <mc:AlternateContent>
                <mc:Choice Requires="wps">
                  <w:drawing>
                    <wp:anchor distT="0" distB="0" distL="114300" distR="114300" simplePos="0" relativeHeight="251661824" behindDoc="0" locked="0" layoutInCell="1" allowOverlap="1">
                      <wp:simplePos x="0" y="0"/>
                      <wp:positionH relativeFrom="column">
                        <wp:posOffset>794385</wp:posOffset>
                      </wp:positionH>
                      <wp:positionV relativeFrom="paragraph">
                        <wp:posOffset>22860</wp:posOffset>
                      </wp:positionV>
                      <wp:extent cx="1276350" cy="0"/>
                      <wp:effectExtent l="0" t="0" r="0" b="0"/>
                      <wp:wrapNone/>
                      <wp:docPr id="1515997759" name="Straight Connector 4"/>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D89A85A"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62.55pt,1.8pt" to="163.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" strokecolor="#4472c4 [3204]" strokeweight=".5pt">
                      <v:stroke joinstyle="miter"/>
                    </v:line>
                  </w:pict>
                </mc:Fallback>
              </mc:AlternateContent>
            </w:r>
          </w:p>
        </w:tc>
        <w:tc>
          <w:tcPr>
            <w:tcW w:w="5766" w:type="dxa"/>
          </w:tcPr>
          <w:p>
            <w:pPr>
              <w:spacing w:before="0" w:after="0"/>
              <w:ind w:firstLine="0"/>
              <w:jc w:val="center"/>
              <w:rPr>
                <w:b/>
                <w:color w:val="000000" w:themeColor="text1"/>
                <w:sz w:val="26"/>
                <w:szCs w:val="28"/>
              </w:rPr>
            </w:pPr>
            <w:r>
              <w:rPr>
                <w:b/>
                <w:color w:val="000000" w:themeColor="text1"/>
                <w:sz w:val="26"/>
                <w:szCs w:val="28"/>
              </w:rPr>
              <w:t>CỘNG HÒA XÃ HỘI CHỦ NGHĨA VIỆT NAM</w:t>
            </w:r>
          </w:p>
          <w:p>
            <w:pPr>
              <w:spacing w:before="0" w:after="0"/>
              <w:ind w:firstLine="0"/>
              <w:jc w:val="center"/>
              <w:rPr>
                <w:i/>
                <w:color w:val="000000" w:themeColor="text1"/>
                <w:szCs w:val="28"/>
              </w:rPr>
            </w:pPr>
            <w:r>
              <w:rPr>
                <w:noProof/>
                <w:color w:val="000000" w:themeColor="text1"/>
              </w:rPr>
              <mc:AlternateContent>
                <mc:Choice Requires="wps">
                  <w:drawing>
                    <wp:anchor distT="4294967293" distB="4294967293" distL="114300" distR="114300" simplePos="0" relativeHeight="251657728" behindDoc="0" locked="0" layoutInCell="1" allowOverlap="1">
                      <wp:simplePos x="0" y="0"/>
                      <wp:positionH relativeFrom="column">
                        <wp:posOffset>697230</wp:posOffset>
                      </wp:positionH>
                      <wp:positionV relativeFrom="paragraph">
                        <wp:posOffset>242834</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35D2E5F" id="_x0000_t32" coordsize="21600,21600" o:spt="32" o:oned="t" path="m,l21600,21600e" filled="f">
                      <v:path arrowok="t" fillok="f" o:connecttype="none"/>
                      <o:lock v:ext="edit" shapetype="t"/>
                    </v:shapetype>
                    <v:shape id="Straight Arrow Connector 2" o:spid="_x0000_s1026" type="#_x0000_t32" style="position:absolute;margin-left:54.9pt;margin-top:19.1pt;width:167.1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"/>
                  </w:pict>
                </mc:Fallback>
              </mc:AlternateContent>
            </w:r>
            <w:r>
              <w:rPr>
                <w:b/>
                <w:color w:val="000000" w:themeColor="text1"/>
                <w:szCs w:val="28"/>
              </w:rPr>
              <w:t>Độc lập - Tự do - Hạnh phúc</w:t>
            </w:r>
          </w:p>
        </w:tc>
      </w:tr>
      <w:tr>
        <w:trPr>
          <w:trHeight w:val="49"/>
          <w:jc w:val="center"/>
        </w:trPr>
        <w:tc>
          <w:tcPr>
            <w:tcW w:w="4866" w:type="dxa"/>
          </w:tcPr>
          <w:p>
            <w:pPr>
              <w:spacing w:before="0" w:after="0"/>
              <w:ind w:firstLine="0"/>
              <w:jc w:val="center"/>
              <w:rPr>
                <w:color w:val="000000" w:themeColor="text1"/>
                <w:sz w:val="26"/>
              </w:rPr>
            </w:pPr>
          </w:p>
        </w:tc>
        <w:tc>
          <w:tcPr>
            <w:tcW w:w="5766" w:type="dxa"/>
          </w:tcPr>
          <w:p>
            <w:pPr>
              <w:tabs>
                <w:tab w:val="right" w:pos="5581"/>
              </w:tabs>
              <w:spacing w:before="0" w:after="0"/>
              <w:ind w:firstLine="0"/>
              <w:jc w:val="center"/>
              <w:rPr>
                <w:b/>
                <w:color w:val="000000" w:themeColor="text1"/>
                <w:sz w:val="26"/>
                <w:szCs w:val="28"/>
              </w:rPr>
            </w:pPr>
            <w:r>
              <w:rPr>
                <w:i/>
                <w:color w:val="000000" w:themeColor="text1"/>
                <w:szCs w:val="28"/>
              </w:rPr>
              <w:t>Thanh Hoá, ngày</w:t>
            </w:r>
            <w:r>
              <w:rPr>
                <w:iCs/>
                <w:color w:val="000000" w:themeColor="text1"/>
                <w:szCs w:val="28"/>
              </w:rPr>
              <w:t xml:space="preserve">       </w:t>
            </w:r>
            <w:r>
              <w:rPr>
                <w:bCs/>
                <w:iCs/>
                <w:color w:val="000000" w:themeColor="text1"/>
                <w:szCs w:val="28"/>
              </w:rPr>
              <w:t xml:space="preserve">  </w:t>
            </w:r>
            <w:r>
              <w:rPr>
                <w:i/>
                <w:color w:val="000000" w:themeColor="text1"/>
                <w:szCs w:val="28"/>
              </w:rPr>
              <w:t>tháng         năm 2026</w:t>
            </w:r>
          </w:p>
        </w:tc>
      </w:tr>
    </w:tbl>
    <w:p>
      <w:pPr>
        <w:tabs>
          <w:tab w:val="center" w:pos="0"/>
          <w:tab w:val="left" w:pos="709"/>
          <w:tab w:val="left" w:pos="6810"/>
        </w:tabs>
        <w:spacing w:before="0" w:after="0"/>
        <w:ind w:firstLine="0"/>
        <w:jc w:val="center"/>
        <w:rPr>
          <w:b/>
          <w:color w:val="000000" w:themeColor="text1"/>
          <w:szCs w:val="28"/>
        </w:rPr>
      </w:pPr>
      <w:r>
        <w:rPr>
          <w:b/>
          <w:noProof/>
          <w:color w:val="000000" w:themeColor="text1"/>
          <w:szCs w:val="28"/>
        </w:rPr>
        <mc:AlternateContent>
          <mc:Choice Requires="wps">
            <w:drawing>
              <wp:anchor distT="0" distB="0" distL="114300" distR="114300" simplePos="0" relativeHeight="251663872" behindDoc="0" locked="0" layoutInCell="1" allowOverlap="1">
                <wp:simplePos x="0" y="0"/>
                <wp:positionH relativeFrom="column">
                  <wp:posOffset>-153035</wp:posOffset>
                </wp:positionH>
                <wp:positionV relativeFrom="paragraph">
                  <wp:posOffset>64135</wp:posOffset>
                </wp:positionV>
                <wp:extent cx="1085850" cy="368300"/>
                <wp:effectExtent l="0" t="0" r="19050" b="12700"/>
                <wp:wrapNone/>
                <wp:docPr id="1279691016" name="Text Box 4"/>
                <wp:cNvGraphicFramePr/>
                <a:graphic xmlns:a="http://schemas.openxmlformats.org/drawingml/2006/main">
                  <a:graphicData uri="http://schemas.microsoft.com/office/word/2010/wordprocessingShape">
                    <wps:wsp>
                      <wps:cNvSpPr txBox="1"/>
                      <wps:spPr>
                        <a:xfrm>
                          <a:off x="0" y="0"/>
                          <a:ext cx="1085850" cy="368300"/>
                        </a:xfrm>
                        <a:prstGeom prst="rect">
                          <a:avLst/>
                        </a:prstGeom>
                        <a:solidFill>
                          <a:schemeClr val="lt1"/>
                        </a:solidFill>
                        <a:ln w="6350">
                          <a:solidFill>
                            <a:prstClr val="black"/>
                          </a:solidFill>
                        </a:ln>
                      </wps:spPr>
                      <wps:txbx>
                        <w:txbxContent>
                          <w:p>
                            <w:pPr>
                              <w:spacing w:before="0" w:after="0"/>
                              <w:ind w:firstLine="0"/>
                              <w:jc w:val="center"/>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83DC5E9" id="_x0000_t202" coordsize="21600,21600" o:spt="202" path="m,l,21600r21600,l21600,xe">
                <v:stroke joinstyle="miter"/>
                <v:path gradientshapeok="t" o:connecttype="rect"/>
              </v:shapetype>
              <v:shape id="Text Box 4" o:spid="_x0000_s1026" type="#_x0000_t202" style="position:absolute;left:0;text-align:left;margin-left:-12.05pt;margin-top:5.05pt;width:85.5pt;height:2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" fillcolor="white [3201]" strokeweight=".5pt">
                <v:textbox>
                  <w:txbxContent>
                    <w:p w14:paraId="6B795B97" w14:textId="06F6D031" w:rsidR="00E50193" w:rsidRPr="00E50193" w:rsidRDefault="00E50193" w:rsidP="00E50193">
                      <w:pPr>
                        <w:spacing w:before="0" w:after="0"/>
                        <w:ind w:firstLine="0"/>
                        <w:jc w:val="center"/>
                        <w:rPr>
                          <w:b/>
                          <w:bCs/>
                        </w:rPr>
                      </w:pPr>
                      <w:r w:rsidRPr="00E50193">
                        <w:rPr>
                          <w:b/>
                          <w:bCs/>
                        </w:rPr>
                        <w:t>DỰ THẢO</w:t>
                      </w:r>
                    </w:p>
                  </w:txbxContent>
                </v:textbox>
              </v:shape>
            </w:pict>
          </mc:Fallback>
        </mc:AlternateContent>
      </w:r>
    </w:p>
    <w:p>
      <w:pPr>
        <w:tabs>
          <w:tab w:val="center" w:pos="0"/>
          <w:tab w:val="left" w:pos="709"/>
          <w:tab w:val="left" w:pos="6810"/>
        </w:tabs>
        <w:spacing w:before="0" w:after="0"/>
        <w:ind w:firstLine="0"/>
        <w:jc w:val="left"/>
        <w:rPr>
          <w:b/>
          <w:color w:val="000000" w:themeColor="text1"/>
          <w:szCs w:val="28"/>
        </w:rPr>
      </w:pPr>
    </w:p>
    <w:p>
      <w:pPr>
        <w:tabs>
          <w:tab w:val="center" w:pos="0"/>
          <w:tab w:val="left" w:pos="709"/>
          <w:tab w:val="left" w:pos="6810"/>
        </w:tabs>
        <w:spacing w:before="0" w:after="0"/>
        <w:ind w:firstLine="0"/>
        <w:jc w:val="center"/>
        <w:rPr>
          <w:b/>
          <w:color w:val="000000" w:themeColor="text1"/>
          <w:szCs w:val="28"/>
        </w:rPr>
      </w:pPr>
      <w:bookmarkStart w:id="1" w:name="_Hlk214952045"/>
    </w:p>
    <w:p>
      <w:pPr>
        <w:tabs>
          <w:tab w:val="center" w:pos="0"/>
          <w:tab w:val="left" w:pos="709"/>
          <w:tab w:val="left" w:pos="6810"/>
        </w:tabs>
        <w:spacing w:before="0" w:after="0"/>
        <w:ind w:firstLine="0"/>
        <w:jc w:val="center"/>
        <w:rPr>
          <w:b/>
          <w:color w:val="000000" w:themeColor="text1"/>
          <w:szCs w:val="28"/>
        </w:rPr>
      </w:pPr>
      <w:r>
        <w:rPr>
          <w:b/>
          <w:color w:val="000000" w:themeColor="text1"/>
          <w:szCs w:val="28"/>
        </w:rPr>
        <w:t>BẢN ĐÁNH GIÁ THỦ TỤC HÀNH CHÍNH, VIỆC PHÂN QUYỀN,</w:t>
      </w:r>
    </w:p>
    <w:p>
      <w:pPr>
        <w:tabs>
          <w:tab w:val="center" w:pos="0"/>
          <w:tab w:val="left" w:pos="709"/>
          <w:tab w:val="left" w:pos="6810"/>
        </w:tabs>
        <w:spacing w:before="0" w:after="0"/>
        <w:ind w:firstLine="0"/>
        <w:jc w:val="center"/>
        <w:rPr>
          <w:b/>
          <w:color w:val="000000" w:themeColor="text1"/>
          <w:szCs w:val="28"/>
        </w:rPr>
      </w:pPr>
      <w:r>
        <w:rPr>
          <w:b/>
          <w:color w:val="000000" w:themeColor="text1"/>
          <w:szCs w:val="28"/>
        </w:rPr>
        <w:t xml:space="preserve"> PHÂN CẤP, VIỆC ỨNG DỤNG, THÚC ĐẨY PHÁT TRIỂN KHOA HỌC, CÔNG NGHỆ, ĐỔI MỚI SÁNG TẠO VÀ CHUYỂN ĐỔI SỐ, </w:t>
      </w:r>
    </w:p>
    <w:p>
      <w:pPr>
        <w:tabs>
          <w:tab w:val="center" w:pos="0"/>
          <w:tab w:val="left" w:pos="709"/>
          <w:tab w:val="left" w:pos="6810"/>
        </w:tabs>
        <w:spacing w:before="0" w:after="0"/>
        <w:ind w:firstLine="0"/>
        <w:jc w:val="center"/>
        <w:rPr>
          <w:b/>
          <w:color w:val="000000" w:themeColor="text1"/>
          <w:szCs w:val="28"/>
        </w:rPr>
      </w:pPr>
      <w:r>
        <w:rPr>
          <w:b/>
          <w:color w:val="000000" w:themeColor="text1"/>
          <w:szCs w:val="28"/>
        </w:rPr>
        <w:t xml:space="preserve">BẢO ĐẢM BÌNH ĐẲNG GIỚI, VIỆC THỰC HIỆN CHÍNH SÁCH DÂN TỘC TRONG DỰ THẢO NGHỊ QUYẾT HỘI ĐỒNG NHÂN DÂN TỈNH THANH HOÁ QUY ĐỊNH NGUYÊN TẮC, TIÊU CHÍ, ĐỊNH MỨC PHÂN BỔ VỐN NGÂN SÁCH TRUNG ƯƠNG VÀ TỶ LỆ VỐN ĐỐI ỨNG CỦA NGÂN SÁCH ĐỊA PHƯƠNG THỰC HIỆN CHƯƠNG TRÌNH MỤC TIÊU QUỐC GIA XÂY DỰNG NÔNG THÔN MỚI, GIẢM NGHÈO </w:t>
      </w:r>
    </w:p>
    <w:p>
      <w:pPr>
        <w:tabs>
          <w:tab w:val="center" w:pos="0"/>
          <w:tab w:val="left" w:pos="709"/>
          <w:tab w:val="left" w:pos="6810"/>
        </w:tabs>
        <w:spacing w:before="0" w:after="0"/>
        <w:ind w:firstLine="0"/>
        <w:jc w:val="center"/>
        <w:rPr>
          <w:b/>
          <w:color w:val="000000" w:themeColor="text1"/>
          <w:szCs w:val="28"/>
        </w:rPr>
      </w:pPr>
      <w:r>
        <w:rPr>
          <w:b/>
          <w:color w:val="000000" w:themeColor="text1"/>
          <w:szCs w:val="28"/>
        </w:rPr>
        <w:t>BỀN VỮNG VÀ PHÁT TRIỂN KINH TẾ -  XÃ HỘI VÙNG ĐỒNG BÀO DÂN TỘC THIỂU SỐ VÀ MIỀN NÚI GIAI ĐOẠN 2026-2030</w:t>
      </w:r>
    </w:p>
    <w:p>
      <w:pPr>
        <w:tabs>
          <w:tab w:val="center" w:pos="0"/>
          <w:tab w:val="left" w:pos="709"/>
          <w:tab w:val="left" w:pos="6810"/>
        </w:tabs>
        <w:spacing w:before="0" w:after="0"/>
        <w:ind w:firstLine="0"/>
        <w:jc w:val="center"/>
        <w:rPr>
          <w:b/>
          <w:color w:val="000000" w:themeColor="text1"/>
          <w:szCs w:val="28"/>
        </w:rPr>
      </w:pPr>
      <w:r>
        <w:rPr>
          <w:b/>
          <w:noProof/>
          <w:color w:val="000000" w:themeColor="text1"/>
          <w:szCs w:val="28"/>
        </w:rPr>
        <mc:AlternateContent>
          <mc:Choice Requires="wps">
            <w:drawing>
              <wp:anchor distT="0" distB="0" distL="114300" distR="114300" simplePos="0" relativeHeight="251662848" behindDoc="0" locked="0" layoutInCell="1" allowOverlap="1">
                <wp:simplePos x="0" y="0"/>
                <wp:positionH relativeFrom="column">
                  <wp:posOffset>1771706</wp:posOffset>
                </wp:positionH>
                <wp:positionV relativeFrom="paragraph">
                  <wp:posOffset>133507</wp:posOffset>
                </wp:positionV>
                <wp:extent cx="2245259" cy="0"/>
                <wp:effectExtent l="0" t="0" r="0" b="0"/>
                <wp:wrapNone/>
                <wp:docPr id="1491749525" name="Straight Connector 3"/>
                <wp:cNvGraphicFramePr/>
                <a:graphic xmlns:a="http://schemas.openxmlformats.org/drawingml/2006/main">
                  <a:graphicData uri="http://schemas.microsoft.com/office/word/2010/wordprocessingShape">
                    <wps:wsp>
                      <wps:cNvCnPr/>
                      <wps:spPr>
                        <a:xfrm>
                          <a:off x="0" y="0"/>
                          <a:ext cx="22452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F5239C3" id="Straight Connector 3"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39.5pt,10.5pt" to="316.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" strokecolor="black [3200]" strokeweight=".5pt">
                <v:stroke joinstyle="miter"/>
              </v:line>
            </w:pict>
          </mc:Fallback>
        </mc:AlternateContent>
      </w:r>
      <w:r>
        <w:rPr>
          <w:b/>
          <w:color w:val="000000" w:themeColor="text1"/>
          <w:szCs w:val="28"/>
        </w:rPr>
        <w:t xml:space="preserve"> </w:t>
      </w:r>
    </w:p>
    <w:bookmarkEnd w:id="1"/>
    <w:p>
      <w:pPr>
        <w:spacing w:before="0" w:after="0"/>
        <w:rPr>
          <w:color w:val="000000" w:themeColor="text1"/>
        </w:rPr>
      </w:pPr>
    </w:p>
    <w:p>
      <w:pPr>
        <w:tabs>
          <w:tab w:val="center" w:pos="0"/>
          <w:tab w:val="left" w:pos="709"/>
          <w:tab w:val="left" w:pos="4675"/>
          <w:tab w:val="left" w:pos="6810"/>
        </w:tabs>
        <w:ind w:firstLine="567"/>
        <w:rPr>
          <w:color w:val="000000" w:themeColor="text1"/>
          <w:szCs w:val="28"/>
        </w:rPr>
      </w:pPr>
      <w:r>
        <w:rPr>
          <w:color w:val="000000" w:themeColor="text1"/>
          <w:szCs w:val="28"/>
        </w:rPr>
        <w:t>Thực hiện quy định của Luật Ban hành văn bản quy phạm pháp luật, Sở Nông nghiệp và Môi trường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quyết của Hội đồng nhân dân tỉnh quy định nguyên tắc, tiêu chí, định mức phân bổ vốn ngân sách trung ương và tỷ lệ vốn đối ứng của ngân sách địa phương thực hiện Chương trình mục tiêu quốc gia (MTQG) xây dựng nông thôn mới, giảm nghèo bền vững và phát triển kinh tế - xã hội vùng đồng bào dân tộc thiểu số và miền núi giai đoạn 2026 – 2030 (</w:t>
      </w:r>
      <w:r>
        <w:rPr>
          <w:i/>
          <w:iCs/>
          <w:color w:val="000000" w:themeColor="text1"/>
          <w:szCs w:val="28"/>
        </w:rPr>
        <w:t>dự thảo Nghị quyết</w:t>
      </w:r>
      <w:r>
        <w:rPr>
          <w:color w:val="000000" w:themeColor="text1"/>
          <w:szCs w:val="28"/>
        </w:rPr>
        <w:t>), cụ thể như sau:</w:t>
      </w:r>
    </w:p>
    <w:p>
      <w:pPr>
        <w:ind w:firstLine="567"/>
        <w:rPr>
          <w:b/>
          <w:bCs/>
          <w:color w:val="000000" w:themeColor="text1"/>
          <w:szCs w:val="28"/>
        </w:rPr>
      </w:pPr>
      <w:r>
        <w:rPr>
          <w:b/>
          <w:bCs/>
          <w:color w:val="000000" w:themeColor="text1"/>
          <w:szCs w:val="28"/>
        </w:rPr>
        <w:t>I. TỔ CHỨC THỰC HIỆN ĐÁNH GIÁ</w:t>
      </w:r>
    </w:p>
    <w:p>
      <w:pPr>
        <w:ind w:firstLine="567"/>
        <w:rPr>
          <w:b/>
          <w:bCs/>
          <w:color w:val="000000" w:themeColor="text1"/>
          <w:szCs w:val="28"/>
        </w:rPr>
      </w:pPr>
      <w:r>
        <w:rPr>
          <w:b/>
          <w:bCs/>
          <w:color w:val="000000" w:themeColor="text1"/>
          <w:szCs w:val="28"/>
        </w:rPr>
        <w:t>1. Bối cảnh xây dựng dự thảo Nghị quyết</w:t>
      </w:r>
    </w:p>
    <w:p>
      <w:pPr>
        <w:ind w:firstLine="567"/>
        <w:rPr>
          <w:szCs w:val="28"/>
        </w:rPr>
      </w:pPr>
      <w:r>
        <w:rPr>
          <w:szCs w:val="28"/>
        </w:rPr>
        <w:t>Giai đoạn 2026–2030 là giai đoạn đầu triển khai Chương trình MTQG xây dựng nông thôn mới, giảm nghèo bền vững và phát triển kinh tế - xã hội vùng đồng bào dân tộc thiểu số và miền núi giai đoạn 2026 – 2035 (</w:t>
      </w:r>
      <w:r>
        <w:rPr>
          <w:i/>
          <w:iCs/>
          <w:szCs w:val="28"/>
        </w:rPr>
        <w:t>Chương trình tích hợp từ 03 Chương trình MTQG: xây dựng nông thôn mới; giảm nghèo bền vững; phát triển kinh tế - xã hội vùng đồng bào dân tộc thiểu số và miền núi  theo Nghị quyết số 257/2025/QH15 của Quốc hội</w:t>
      </w:r>
      <w:r>
        <w:rPr>
          <w:szCs w:val="28"/>
        </w:rPr>
        <w:t>). Đây không chỉ là sự kế tiếp về thời gian của giai đoạn 2021–2025, mà là bước chuyển về phương thức quản trị nguồn lực các cấp, từ cơ chế triển khai theo từng chương trình riêng lẻ, sang mô hình tích hợp, điều phối thống nhất trong một khuôn khổ chung.</w:t>
      </w:r>
    </w:p>
    <w:p>
      <w:pPr>
        <w:ind w:firstLine="567"/>
        <w:rPr>
          <w:szCs w:val="28"/>
        </w:rPr>
      </w:pPr>
      <w:r>
        <w:rPr>
          <w:szCs w:val="28"/>
        </w:rPr>
        <w:lastRenderedPageBreak/>
        <w:t>Trong bối cảnh yêu cầu cơ cấu lại chi ngân sách nhà nước, siết chặt kỷ luật tài khóa, nâng cao hiệu quả đầu tư công và tăng cường phân cấp gắn với trách nhiệm giải trình, việc thiết kế lại cơ chế phân bổ vốn ngân sách trung ương và tỉ lệ vốn đối ứng của ngân sách tỉnh cho Chương trình là yêu cầu khách quan. Nghị quyết số 257/2025/QH15 đã xác định rõ nguyên tắc phân bổ vốn ngân sách trung ương theo mức độ khó khăn, bảo đảm tập trung, không dàn trải và giao Hội đông nhân dân tỉnh quy định cụ thể nguyên tắc, tiêu chí, định mức phân bổ vốn ngân sách trung ương và tỷ lệ vốn đối ứng của ngân sách địa phương.</w:t>
      </w:r>
    </w:p>
    <w:p>
      <w:pPr>
        <w:ind w:firstLine="567"/>
        <w:rPr>
          <w:szCs w:val="28"/>
        </w:rPr>
      </w:pPr>
      <w:r>
        <w:rPr>
          <w:szCs w:val="28"/>
        </w:rPr>
        <w:t>Thực tiễn giai đoạn 2021–2025 cho thấy, cơ chế phân bổ vốn ngân sách trung ương thực hiện 03 Chương trình MTQG còn một số hạn chế: tiêu chí phân bổ chưa đồng bộ giữa các Chương trình; mức độ điều tiết theo năng lực tài chính địa phương chưa phân hóa rõ; cơ chế đối ứng chưa gắn chặt với khả năng cân đối ngân sách; phân bổ ở một số nội dung còn dàn trải, chưa thực sự tập trung cho địa bàn khó khăn nhất. Bên cạnh đó, việc tổ chức chính quyền địa phương theo mô hình 02 cấp từ năm 2025 đặt ra yêu cầu phải điều chỉnh lại cơ chế giao vốn và phân cấp Nghị quyết phân bổ chi tiết cho phù hợp.</w:t>
      </w:r>
    </w:p>
    <w:p>
      <w:pPr>
        <w:ind w:firstLine="567"/>
        <w:rPr>
          <w:szCs w:val="28"/>
        </w:rPr>
      </w:pPr>
      <w:r>
        <w:rPr>
          <w:szCs w:val="28"/>
        </w:rPr>
        <w:t>Trong bối cảnh tỉnh Thanh Hóa thực hiện tích hợp 03 Chương trình MTQG và vận hành mô hình chính quyền địa phương 02 cấp từ năm 2025, việc ban hành Nghị quyết của Hội đồng nhân dân tỉnh quy định nguyên tắc, tiêu chí, định mức phân bổ vốn ngân sách trung ương và tỷ lệ vốn đối ứng của ngân sách địa phương có ý nghĩa hết sức quan trọng và cấp thiết. Nghị quyết này là công cụ pháp lý then chốt để điều tiết nguồn lực trong phạm vi tổng mức vốn được Trung ương giao cho tỉnh; bảo đảm việc phân bổ vốn được thực hiện minh bạch, định lượng, sát với nhu cầu thực tế của từng địa bàn thôn, xã. Đồng thời, văn bản này xác lập rõ trách nhiệm tài chính của ngân sách tỉnh và ngân sách cấp xã, tạo cơ sở vững chắc để đẩy mạnh ứng dụng công nghệ thông tin, số hóa dữ liệu phân bổ và nâng cao năng lực giám sát, đánh giá điện tử việc thực hiện Chương trình trên toàn địa bàn tỉnh</w:t>
      </w:r>
    </w:p>
    <w:p>
      <w:pPr>
        <w:ind w:firstLine="567"/>
        <w:rPr>
          <w:szCs w:val="28"/>
        </w:rPr>
      </w:pPr>
      <w:r>
        <w:rPr>
          <w:szCs w:val="28"/>
        </w:rPr>
        <w:t>Việc xây dựng dự thảo Nghị quyết cũng đặt trong tổng thể yêu cầu thực hiện chính sách dân tộc, thu hẹp khoảng cách phát triển giữa các vùng; bảo đảm bình đẳng trong tiếp cận nguồn lực; thúc đẩy đổi mới phương thức quản lý theo hướng hiện đại, kỷ cương, trách nhiệm và hiệu quả.</w:t>
      </w:r>
    </w:p>
    <w:p>
      <w:pPr>
        <w:ind w:firstLine="567"/>
        <w:rPr>
          <w:color w:val="000000" w:themeColor="text1"/>
          <w:szCs w:val="28"/>
        </w:rPr>
      </w:pPr>
      <w:r>
        <w:rPr>
          <w:b/>
          <w:bCs/>
          <w:color w:val="000000" w:themeColor="text1"/>
          <w:szCs w:val="28"/>
        </w:rPr>
        <w:t>2. Mục đích, yêu cầu đánh giá</w:t>
      </w:r>
    </w:p>
    <w:p>
      <w:pPr>
        <w:ind w:firstLine="567"/>
        <w:rPr>
          <w:color w:val="000000" w:themeColor="text1"/>
          <w:szCs w:val="28"/>
        </w:rPr>
      </w:pPr>
      <w:r>
        <w:rPr>
          <w:color w:val="000000" w:themeColor="text1"/>
          <w:szCs w:val="28"/>
        </w:rPr>
        <w:t xml:space="preserve">a) Mục đích: </w:t>
      </w:r>
    </w:p>
    <w:p>
      <w:pPr>
        <w:ind w:firstLine="567"/>
        <w:rPr>
          <w:szCs w:val="28"/>
        </w:rPr>
      </w:pPr>
      <w:r>
        <w:rPr>
          <w:szCs w:val="28"/>
        </w:rPr>
        <w:t>Xác định rõ dự thảo Nghị quyết có quy định thủ tục hành chính hay không; trường hợp có thì xác định đầy đủ các bộ phận cấu thành của một thủ tục hành chính theo quy định của pháp luật, trên cơ sở đó đánh giá sự cần thiết, tính hợp lý, tính hợp pháp và chi phí tuân thủ nhằm lựa chọn phương án tối ưu trước khi trình ban hành.</w:t>
      </w:r>
    </w:p>
    <w:p>
      <w:pPr>
        <w:ind w:firstLine="567"/>
        <w:rPr>
          <w:szCs w:val="28"/>
        </w:rPr>
      </w:pPr>
      <w:r>
        <w:rPr>
          <w:szCs w:val="28"/>
        </w:rPr>
        <w:t xml:space="preserve">Đồng thời, làm rõ nội dung về phân quyền, phân cấp trong cơ chế phân bổ và quản lý nguồn vốn; đánh giá việc ứng dụng, thúc đẩy phát triển khoa học, công nghệ, đổi mới sáng tạo và chuyển đổi số trong thiết kế tiêu chí, hệ số và phương </w:t>
      </w:r>
      <w:r>
        <w:rPr>
          <w:szCs w:val="28"/>
        </w:rPr>
        <w:lastRenderedPageBreak/>
        <w:t>thức phân bổ; xem xét việc bảo đảm bình đẳng giới và thực hiện chính sách dân tộc trong cơ chế ưu tiên phân bổ nguồn lực của Chương trình.</w:t>
      </w:r>
    </w:p>
    <w:p>
      <w:pPr>
        <w:ind w:firstLine="567"/>
        <w:rPr>
          <w:color w:val="000000" w:themeColor="text1"/>
          <w:szCs w:val="28"/>
        </w:rPr>
      </w:pPr>
      <w:r>
        <w:rPr>
          <w:color w:val="000000" w:themeColor="text1"/>
          <w:szCs w:val="28"/>
        </w:rPr>
        <w:t xml:space="preserve">b) Yêu cầu: </w:t>
      </w:r>
    </w:p>
    <w:p>
      <w:pPr>
        <w:ind w:firstLine="567"/>
        <w:rPr>
          <w:szCs w:val="28"/>
        </w:rPr>
      </w:pPr>
      <w:r>
        <w:rPr>
          <w:szCs w:val="28"/>
        </w:rPr>
        <w:t>Trong quá trình đánh giá, nếu xác định dự thảo không phát sinh thủ tục hành chính theo quy định của pháp luật, thì không thực hiện đánh giá tác động thủ tục hành chính và không quy định nội dung về thủ tục hành chính trong dự thảo Nghị quyết. Trường hợp phát sinh thủ tục hành chính, phải đánh giá đầy đủ tác động, căn cứ kết quả đánh giá để hoàn thiện quy định bảo đảm cần thiết, hợp pháp, khả thi và không tạo gánh nặng chi phí tuân thủ.</w:t>
      </w:r>
    </w:p>
    <w:p>
      <w:pPr>
        <w:ind w:firstLine="567"/>
        <w:rPr>
          <w:szCs w:val="28"/>
        </w:rPr>
      </w:pPr>
      <w:r>
        <w:rPr>
          <w:szCs w:val="28"/>
        </w:rPr>
        <w:t>Việc đánh giá phải cụ thể hóa rõ nội dung phân quyền, phân cấp giữa cấp tỉnh và cấp xã; xác định rõ trách nhiệm của từng cấp trong tổ chức thực hiện cơ chế phân bổ và đối ứng. Đồng thời, làm rõ mức độ ứng dụng công nghệ thông tin, chuyển đổi số trong quản lý, tổng hợp, giám sát phân bổ vốn; bảo đảm quy định không gây bất bình đẳng giới và thể hiện rõ ưu tiên thực hiện chính sách dân tộc theo định hướng của Trung ương.</w:t>
      </w:r>
    </w:p>
    <w:p>
      <w:pPr>
        <w:ind w:firstLine="567"/>
        <w:rPr>
          <w:szCs w:val="28"/>
        </w:rPr>
      </w:pPr>
      <w:r>
        <w:rPr>
          <w:szCs w:val="28"/>
        </w:rPr>
        <w:t>Kết quả đánh giá là căn cứ để hoàn thiện dự thảo Nghị quyết, bảo đảm khi ban hành có thể tổ chức thực hiện thống nhất, minh bạch, hiệu quả trên phạm vi cả nước.</w:t>
      </w:r>
    </w:p>
    <w:p>
      <w:pPr>
        <w:ind w:firstLine="567"/>
        <w:rPr>
          <w:b/>
          <w:bCs/>
          <w:color w:val="000000" w:themeColor="text1"/>
          <w:szCs w:val="28"/>
        </w:rPr>
      </w:pPr>
      <w:r>
        <w:rPr>
          <w:b/>
          <w:bCs/>
          <w:color w:val="000000" w:themeColor="text1"/>
          <w:szCs w:val="28"/>
        </w:rPr>
        <w:t>II. KẾT QUẢ ĐÁNH GIÁ</w:t>
      </w:r>
    </w:p>
    <w:p>
      <w:pPr>
        <w:ind w:firstLine="567"/>
        <w:rPr>
          <w:b/>
          <w:bCs/>
          <w:color w:val="000000" w:themeColor="text1"/>
          <w:szCs w:val="28"/>
        </w:rPr>
      </w:pPr>
      <w:r>
        <w:rPr>
          <w:b/>
          <w:bCs/>
          <w:color w:val="000000" w:themeColor="text1"/>
          <w:szCs w:val="28"/>
        </w:rPr>
        <w:t>1. Về thủ tục hành chính</w:t>
      </w:r>
    </w:p>
    <w:p>
      <w:pPr>
        <w:ind w:firstLine="567"/>
        <w:rPr>
          <w:szCs w:val="28"/>
        </w:rPr>
      </w:pPr>
      <w:r>
        <w:rPr>
          <w:szCs w:val="28"/>
        </w:rPr>
        <w:t xml:space="preserve">Kết quả rà soát, đánh giá cho thấy, dự thảo Nghị quyết của Hội đồng nhân dân tỉnh quy định nguyên tắc, tiêu chí, định mức phân bổ vốn ngân sách trung ương và tỷ lệ vốn đối ứng của ngân sách địa phương thực hiện Chương trình giai đoạn 2026–2030 </w:t>
      </w:r>
      <w:r>
        <w:rPr>
          <w:b/>
          <w:bCs/>
          <w:szCs w:val="28"/>
        </w:rPr>
        <w:t>không quy định thủ tục hành chính.</w:t>
      </w:r>
    </w:p>
    <w:p>
      <w:pPr>
        <w:ind w:firstLine="567"/>
        <w:rPr>
          <w:szCs w:val="28"/>
        </w:rPr>
      </w:pPr>
      <w:r>
        <w:rPr>
          <w:szCs w:val="28"/>
        </w:rPr>
        <w:t>Cụ thể, dự thảo không quy định trình tự, cách thức thực hiện; không quy định thành phần hồ sơ; không đặt ra yêu cầu, điều kiện để giải quyết một công việc cụ thể đối với tổ chức, cá nhân; không quy định cơ quan tiếp nhận, giải quyết và trả kết quả hành chính; không có kết quả giải quyết làm phát sinh, thay đổi hoặc chấm dứt quyền, nghĩa vụ hành chính của tổ chức, cá nhân. Như vậy, dự thảo không có đầy đủ các bộ phận cấu thành của một thủ tục hành chính hoàn chỉnh theo quy định của pháp luật.</w:t>
      </w:r>
    </w:p>
    <w:p>
      <w:pPr>
        <w:ind w:firstLine="567"/>
        <w:rPr>
          <w:szCs w:val="28"/>
        </w:rPr>
      </w:pPr>
      <w:r>
        <w:rPr>
          <w:szCs w:val="28"/>
        </w:rPr>
        <w:t xml:space="preserve">Đối chiếu với quy định tại Nghị định số 63/2010/NĐ-CP ngày 08/6/2010 của Chính phủ về kiểm soát thủ tục hành chính </w:t>
      </w:r>
      <w:r>
        <w:rPr>
          <w:i/>
          <w:iCs/>
          <w:szCs w:val="28"/>
        </w:rPr>
        <w:t>(được sửa đổi, bổ sung bởi Nghị định số 48/2013/NĐ-CP và Nghị định số 92/2017/NĐ-CP của Chính phủ)</w:t>
      </w:r>
      <w:r>
        <w:rPr>
          <w:szCs w:val="28"/>
        </w:rPr>
        <w:t xml:space="preserve"> và Thông tư số 03/2022/TT-BTP ngày 10/02/2022 của Bộ trưởng Bộ Tư pháp hướng dẫn đánh giá tác động của thủ tục hành chính trong lập đề nghị xây dựng văn bản quy phạm pháp luật và soạn thảo dự án, dự thảo văn bản quy phạm pháp luật, dự thảo Nghị quyết không phát sinh thủ tục hành chính mới, không sửa đổi, bổ sung hoặc bãi bỏ thủ tục hành chính hiện hành.</w:t>
      </w:r>
    </w:p>
    <w:p>
      <w:pPr>
        <w:ind w:firstLine="567"/>
        <w:rPr>
          <w:szCs w:val="28"/>
        </w:rPr>
      </w:pPr>
      <w:r>
        <w:rPr>
          <w:szCs w:val="28"/>
        </w:rPr>
        <w:t xml:space="preserve">Các nội dung về tổng hợp phương án phân bổ, giao kế hoạch vốn, Nghị quyết phân bổ chi tiết giữa các cấp ngân sách là quy trình nội bộ trong hệ thống cơ quan </w:t>
      </w:r>
      <w:r>
        <w:rPr>
          <w:szCs w:val="28"/>
        </w:rPr>
        <w:lastRenderedPageBreak/>
        <w:t>nhà nước, được thực hiện theo pháp luật về ngân sách nhà nước và đầu tư công, không phải thủ tục hành chính áp dụng đối với tổ chức, cá nhân.</w:t>
      </w:r>
    </w:p>
    <w:p>
      <w:pPr>
        <w:ind w:firstLine="567"/>
        <w:rPr>
          <w:szCs w:val="28"/>
        </w:rPr>
      </w:pPr>
      <w:r>
        <w:rPr>
          <w:szCs w:val="28"/>
        </w:rPr>
        <w:t>Do đó, không tiến hành đánh giá tác động thủ tục hành chính đối với dự thảo Nghị quyết và đã được Văn phòng UBND tỉnh tham gia ý kiến tại Công văn số 1430/VP-HCC ngày 12/5/2026 tham gia ý kién về thủ tục hành chính tại dự thảo Nghị quyết của HĐND tỉnh.</w:t>
      </w:r>
    </w:p>
    <w:p>
      <w:pPr>
        <w:ind w:firstLine="567"/>
        <w:rPr>
          <w:b/>
          <w:bCs/>
          <w:color w:val="000000" w:themeColor="text1"/>
          <w:szCs w:val="28"/>
        </w:rPr>
      </w:pPr>
      <w:r>
        <w:rPr>
          <w:b/>
          <w:bCs/>
          <w:color w:val="000000" w:themeColor="text1"/>
          <w:szCs w:val="28"/>
        </w:rPr>
        <w:t>2. Về việc phân quyền, phân cấp</w:t>
      </w:r>
    </w:p>
    <w:p>
      <w:pPr>
        <w:ind w:firstLine="567"/>
        <w:rPr>
          <w:szCs w:val="28"/>
          <w:lang w:val="vi-VN"/>
        </w:rPr>
      </w:pPr>
      <w:r>
        <w:rPr>
          <w:szCs w:val="28"/>
          <w:lang w:val="vi-VN"/>
        </w:rPr>
        <w:t>Dự thảo Nghị quyết được xây dựng trên nguyên tắc đẩy mạnh phân cấp, phân quyền gắn với trách nhiệm giải trình toàn diện, phù hợp với chủ trương cải cách hành chính và thực tiễn vận hành mô hình chính quyền địa phương 02 cấp tại tỉnh Thanh Hóa.</w:t>
      </w:r>
    </w:p>
    <w:p>
      <w:pPr>
        <w:ind w:firstLine="567"/>
        <w:rPr>
          <w:szCs w:val="28"/>
          <w:lang w:val="vi-VN"/>
        </w:rPr>
      </w:pPr>
      <w:r>
        <w:rPr>
          <w:szCs w:val="28"/>
          <w:lang w:val="vi-VN"/>
        </w:rPr>
        <w:t>Thứ nhất, về phân định thẩm quyền giữa Trung ương và tỉnh Thanh Hóa: Dự thảo tuân thủ đúng khung pháp lý do Trung ương (Thủ tướng Chính phủ) ban hành tại Quyết định số 16/2026/QĐ-TTg về nguyên tắc, tiêu chí, hệ số và định mức phân bổ vốn ngân sách trung ương. Trên cơ sở tổng mức vốn trung hạn và hằng năm được Chính phủ giao, HĐND tỉnh Thanh Hóa thực hiện thẩm quyền ban hành Nghị quyết quy định chi tiết các định mức hỗ trợ và trực tiếp quyết định phương án phân bổ vốn cho các địa phương, đơn vị thực hiện. Cơ chế này vừa đảm bảo tính thống nhất với Nghị quyết của Quốc hội, vừa tăng tính chủ động cho tỉnh trong việc điều tiết nguồn lực tập trung cho các xã đặc biệt khó khăn vùng dân tộc thiểu số và miền núi (DTTS&amp;MN).</w:t>
      </w:r>
    </w:p>
    <w:p>
      <w:pPr>
        <w:ind w:firstLine="567"/>
        <w:rPr>
          <w:szCs w:val="28"/>
          <w:lang w:val="vi-VN"/>
        </w:rPr>
      </w:pPr>
      <w:r>
        <w:rPr>
          <w:szCs w:val="28"/>
          <w:lang w:val="vi-VN"/>
        </w:rPr>
        <w:t>Thứ hai, về đổi mới phương thức và mức độ phân cấp: UBND tỉnh xây dựng phương án phân bổ hằng năm trình HĐND tỉnh quyết định trực tiếp cho cấp xã. Đặc biệt, việc phân bổ vốn được gắn chặt với kết quả giải ngân năm liền kề của các đơn vị, giúp nâng cao kỷ luật tài chính và trách nhiệm của chính quyền cơ sở.</w:t>
      </w:r>
    </w:p>
    <w:p>
      <w:pPr>
        <w:ind w:firstLine="567"/>
        <w:rPr>
          <w:szCs w:val="28"/>
          <w:lang w:val="vi-VN"/>
        </w:rPr>
      </w:pPr>
      <w:r>
        <w:rPr>
          <w:szCs w:val="28"/>
          <w:lang w:val="vi-VN"/>
        </w:rPr>
        <w:t>Thứ ba, về bảo đảm kiểm soát quyền lực và trách nhiệm giải trình: Mặc dù tăng cường phân cấp thực hiện, dự thảo vẫn bảo đảm vai trò điều tiết của Trung ương và tỉnh thông qua việc xác lập các hệ số ưu tiên rõ ràng cho địa bàn khó khăn, biên giới. Trách nhiệm của UBND tỉnh và các cơ quan chuyên môn (trọng tâm là Sở Nông nghiệp và Môi trường) được xác định rõ trong việc lập kế hoạch, giám sát và báo cáo kết quả định kỳ theo quy định. Việc ứng dụng công nghệ thông tin và số hóa dữ liệu phân bổ theo hệ thống tiêu chí định lượng sẽ là công cụ then chốt để giám sát tính minh bạch và hiệu quả sử dụng nguồn vốn công trên toàn địa bàn tỉnh.</w:t>
      </w:r>
    </w:p>
    <w:p>
      <w:pPr>
        <w:ind w:firstLine="567"/>
        <w:rPr>
          <w:szCs w:val="28"/>
          <w:lang w:val="vi-VN"/>
        </w:rPr>
      </w:pPr>
      <w:r>
        <w:rPr>
          <w:szCs w:val="28"/>
          <w:lang w:val="vi-VN"/>
        </w:rPr>
        <w:t>Như vậy, dự thảo Nghị quyết không phát sinh thẩm quyền mới ngoài khuôn khổ pháp luật hiện hành, không làm thay đổi cơ cấu phân cấp theo luật, mà cụ thể hóa và vận dụng linh hoạt cơ chế phân cấp trong phạm vi được Nghị quyết của Quốc hội giao, góp phần nâng cao hiệu quả quản trị và sử dụng nguồn lực công.</w:t>
      </w:r>
    </w:p>
    <w:p>
      <w:pPr>
        <w:overflowPunct w:val="0"/>
        <w:autoSpaceDE w:val="0"/>
        <w:autoSpaceDN w:val="0"/>
        <w:adjustRightInd w:val="0"/>
        <w:ind w:firstLine="567"/>
        <w:rPr>
          <w:b/>
          <w:bCs/>
          <w:color w:val="000000" w:themeColor="text1"/>
          <w:szCs w:val="28"/>
        </w:rPr>
      </w:pPr>
      <w:r>
        <w:rPr>
          <w:b/>
          <w:bCs/>
          <w:color w:val="000000" w:themeColor="text1"/>
          <w:szCs w:val="28"/>
        </w:rPr>
        <w:t>3. Việc ứng dụng, thúc đẩy phát triển khoa học, công nghệ, đổi mới sáng tạo và chuyển đổi số</w:t>
      </w:r>
    </w:p>
    <w:p>
      <w:pPr>
        <w:ind w:firstLine="567"/>
        <w:rPr>
          <w:szCs w:val="28"/>
        </w:rPr>
      </w:pPr>
      <w:r>
        <w:rPr>
          <w:szCs w:val="28"/>
        </w:rPr>
        <w:lastRenderedPageBreak/>
        <w:t>Dự thảo Nghị quyết không trực tiếp quy định nhiệm vụ khoa học, công nghệ hoặc nội dung đầu tư cụ thể về chuyển đổi số. Tuy nhiên, thông qua thiết kế cơ chế phân bổ vốn ngân sách trung ương; tỉ lệ vốn đối ứng ngân sách địa phương và cơ chế quản lý nguồn lực, dự thảo tạo nền tảng quan trọng để thúc đẩy ứng dụng công nghệ thông tin, đổi mới phương thức quản trị và tăng cường chuyển đổi số trong tổ chức thực hiện Chương trình.</w:t>
      </w:r>
    </w:p>
    <w:p>
      <w:pPr>
        <w:ind w:firstLine="567"/>
        <w:rPr>
          <w:szCs w:val="28"/>
        </w:rPr>
      </w:pPr>
      <w:r>
        <w:rPr>
          <w:szCs w:val="28"/>
        </w:rPr>
        <w:t>Thứ nhất, về chuẩn hóa và định lượng cơ chế phân bổ: Hệ thống tiêu chí và hệ số phân bổ được xây dựng theo hướng định lượng rõ ràng, gắn với số lượng thôn đặc biệt khó khăn, phân loại khu vực xã và mức độ nhận hỗ trợ ngân sách trung ương, ngân sách tỉnh của từng xã. Cách tiếp cận này cho phép chuẩn hóa dữ liệu đầu vào, bảo đảm tính khách quan và tạo điều kiện áp dụng công cụ tính toán tự động trên nền tảng số. Việc phân bổ theo công thức định lượng góp phần giảm xử lý thủ công, hạn chế can thiệp chủ quan và nâng cao tính minh bạch.</w:t>
      </w:r>
    </w:p>
    <w:p>
      <w:pPr>
        <w:ind w:firstLine="567"/>
        <w:rPr>
          <w:szCs w:val="28"/>
        </w:rPr>
      </w:pPr>
      <w:r>
        <w:rPr>
          <w:szCs w:val="28"/>
        </w:rPr>
        <w:t>Thứ hai, về tăng cường công khai, minh bạch và giám sát điện tử:</w:t>
      </w:r>
      <w:r>
        <w:rPr>
          <w:szCs w:val="28"/>
        </w:rPr>
        <w:br/>
        <w:t>Cơ chế phân bổ theo tiêu chí, hệ số và tổng mức vốn rõ ràng tạo điều kiện công khai phương án và kết quả phân bổ trên hệ thống thông tin quản lý ngân sách và đầu tư công. Việc số hóa dữ liệu phân bổ và theo dõi giải ngân góp phần nâng cao trách nhiệm giải trình của cơ quan quản lý; hỗ trợ công tác kiểm tra, giám sát của cơ quan dân cử và cơ quan kiểm toán; đồng thời tạo cơ sở cho việc đánh giá hiệu quả sử dụng nguồn lực trên nền tảng dữ liệu.</w:t>
      </w:r>
    </w:p>
    <w:p>
      <w:pPr>
        <w:ind w:firstLine="567"/>
        <w:rPr>
          <w:szCs w:val="28"/>
        </w:rPr>
      </w:pPr>
      <w:r>
        <w:rPr>
          <w:szCs w:val="28"/>
        </w:rPr>
        <w:t>Thứ ba, về đổi mới phương thức quản trị và cải cách quy trình nội bộ:</w:t>
      </w:r>
      <w:r>
        <w:rPr>
          <w:szCs w:val="28"/>
        </w:rPr>
        <w:br/>
        <w:t>Trung ương tập trung vào khâu xác lập khung phân bổ và kiểm soát tổng mức; địa phương chủ động Nghị quyết phân bổ chi tiết trong phạm vi được giao; các xã chủ động xây dựng phương án đối ứng phù hợp với nguồn lực ngay từ đầu giai đoạn. Cách tiếp cận này phù hợp với quản trị dựa trên dữ liệu, giảm tầng nấc trung gian và khuyến khích địa phương ứng dụng công nghệ thông tin trong quản lý, phân bổ và giám sát sử dụng vốn.</w:t>
      </w:r>
    </w:p>
    <w:p>
      <w:pPr>
        <w:ind w:firstLine="567"/>
        <w:rPr>
          <w:szCs w:val="28"/>
        </w:rPr>
      </w:pPr>
      <w:r>
        <w:rPr>
          <w:szCs w:val="28"/>
        </w:rPr>
        <w:t>Thứ tư, về khả năng tích hợp và liên thông dữ liệu: Do tiêu chí phân bổ gắn với các thông tin định danh cụ thể (đơn vị hành chính, phân loại khu vực, tỷ lệ hỗ trợ ngân sách, tỷ lệ vốn đối ứng), việc triển khai Nghị quyết có thể tích hợp với hệ thống thông tin quản lý ngân sách, hệ thống theo dõi Chương trình và các cơ sở dữ liệu quốc gia có liên quan. Điều này tạo điều kiện hình thành chu trình quản lý khép kín từ phân bổ – thực hiện – giám sát – đánh giá trên môi trường số.</w:t>
      </w:r>
    </w:p>
    <w:p>
      <w:pPr>
        <w:ind w:firstLine="567"/>
        <w:rPr>
          <w:szCs w:val="28"/>
        </w:rPr>
      </w:pPr>
      <w:r>
        <w:rPr>
          <w:szCs w:val="28"/>
        </w:rPr>
        <w:t>Về rủi ro và điều kiện bảo đảm thực thi: Việc áp dụng cơ chế phân bổ định lượng và số hóa có thể phát sinh rủi ro, như: dữ liệu đầu vào chưa đồng bộ; chênh lệch về năng lực công nghệ thông tin giữa các địa phương; sai lệch trong tổng hợp, đối chiếu số liệu nếu thiếu cơ chế kiểm tra, chuẩn hóa thống nhất. Để bảo đảm thực thi hiệu quả, cần chuẩn hóa và cập nhật đầy đủ dữ liệu làm căn cứ phân bổ; tăng cường kết nối, chia sẻ dữ liệu giữa các hệ thống quản lý ngân sách và Chương trình; nâng cao năng lực cán bộ trong sử dụng công cụ số; thiết lập cơ chế kiểm tra, đối chiếu và công khai dữ liệu phân bổ nhằm tăng cường giám sát.</w:t>
      </w:r>
    </w:p>
    <w:p>
      <w:pPr>
        <w:ind w:firstLine="567"/>
        <w:rPr>
          <w:szCs w:val="28"/>
        </w:rPr>
      </w:pPr>
      <w:r>
        <w:rPr>
          <w:szCs w:val="28"/>
        </w:rPr>
        <w:t xml:space="preserve">Như vậy, mặc dù dự thảo không quy định trực tiếp chính sách khoa học, công nghệ, nhưng cơ chế phân bổ vốn được thiết kế theo hướng định lượng, minh bạch </w:t>
      </w:r>
      <w:r>
        <w:rPr>
          <w:szCs w:val="28"/>
        </w:rPr>
        <w:lastRenderedPageBreak/>
        <w:t>và có khả năng số hóa cao; qua đó góp phần thúc đẩy đổi mới phương thức quản lý, nâng cao hiệu quả sử dụng nguồn lực và phù hợp định hướng chuyển đổi số trong quản trị nhà nước.</w:t>
      </w:r>
    </w:p>
    <w:p>
      <w:pPr>
        <w:overflowPunct w:val="0"/>
        <w:autoSpaceDE w:val="0"/>
        <w:autoSpaceDN w:val="0"/>
        <w:adjustRightInd w:val="0"/>
        <w:ind w:firstLine="567"/>
        <w:rPr>
          <w:color w:val="000000" w:themeColor="text1"/>
          <w:szCs w:val="28"/>
        </w:rPr>
      </w:pPr>
      <w:r>
        <w:rPr>
          <w:b/>
          <w:bCs/>
          <w:color w:val="000000" w:themeColor="text1"/>
          <w:szCs w:val="28"/>
        </w:rPr>
        <w:t>4. Việc bảo đảm bình đẳng giới</w:t>
      </w:r>
    </w:p>
    <w:p>
      <w:pPr>
        <w:ind w:firstLine="567"/>
        <w:rPr>
          <w:szCs w:val="28"/>
        </w:rPr>
      </w:pPr>
      <w:r>
        <w:rPr>
          <w:szCs w:val="28"/>
        </w:rPr>
        <w:t>dự thảo Nghị quyết không có quy định phân biệt đối xử về giới; không đặt ra tiêu chí, điều kiện hoặc cơ chế phân bổ nguồn lực dựa trên yếu tố giới tính; không quy định nghĩa vụ, trách nhiệm hoặc quyền lợi riêng biệt đối với nam hoặc nữ.</w:t>
      </w:r>
    </w:p>
    <w:p>
      <w:pPr>
        <w:ind w:firstLine="567"/>
        <w:rPr>
          <w:szCs w:val="28"/>
        </w:rPr>
      </w:pPr>
      <w:r>
        <w:rPr>
          <w:szCs w:val="28"/>
        </w:rPr>
        <w:t>Cơ chế phân bổ vốn ngân sách trung ương và quy định tỷ lệ vốn đối ứng của ngân sách địa phương được thiết kế trên cơ sở tiêu chí địa bàn, mức độ khó khăn và khả năng cân đối ngân sách, áp dụng thống nhất đối với các địa phương. Do đó, dự thảo không tạo ra sự khác biệt trong tiếp cận nguồn lực giữa các nhóm giới.</w:t>
      </w:r>
    </w:p>
    <w:p>
      <w:pPr>
        <w:ind w:firstLine="567"/>
        <w:rPr>
          <w:szCs w:val="28"/>
        </w:rPr>
      </w:pPr>
      <w:r>
        <w:rPr>
          <w:szCs w:val="28"/>
        </w:rPr>
        <w:t>Đồng thời, việc ưu tiên phân bổ vốn cho xã, thôn đặc biệt khó khăn, vùng đồng bào dân tộc thiểu số và miền núi; hộ nghèo, hộ cận nghèo và hộ mới thoát nghèo và không quy định tỷ lệ vốn đối ứng bắt buộc đối với các xã khu vực I, II, III; có tác động tích cực gián tiếp đến việc bảo đảm bình đẳng giới. Thực tế tại nhiều địa bàn khó khăn cho thấy phụ nữ và trẻ em gái thường chịu bất lợi lớn hơn trong tiếp cận dịch vụ cơ bản, cơ hội việc làm và nguồn lực phát triển. Việc tập trung nguồn lực cải thiện hạ tầng thiết yếu, sinh kế bền vững và giảm nghèo đa chiều góp phần nâng cao điều kiện sống, tạo cơ hội bình đẳng hơn cho phụ nữ và nhóm yếu thế.</w:t>
      </w:r>
    </w:p>
    <w:p>
      <w:pPr>
        <w:ind w:firstLine="567"/>
        <w:rPr>
          <w:szCs w:val="28"/>
        </w:rPr>
      </w:pPr>
      <w:r>
        <w:rPr>
          <w:szCs w:val="28"/>
        </w:rPr>
        <w:t>Dự thảo không làm thay đổi chính sách về bình đẳng giới hiện hành; không phát sinh thủ tục, chi phí hoặc rào cản mới ảnh hưởng đến một giới cụ thể. Các quy định được thiết kế theo nguyên tắc bình đẳng trong tiếp cận nguồn lực phát triển, phù hợp với pháp luật về bình đẳng giới.</w:t>
      </w:r>
    </w:p>
    <w:p>
      <w:pPr>
        <w:ind w:firstLine="567"/>
        <w:rPr>
          <w:szCs w:val="28"/>
        </w:rPr>
      </w:pPr>
      <w:r>
        <w:rPr>
          <w:szCs w:val="28"/>
        </w:rPr>
        <w:t>Như vậy, dự thảo Nghị quyết bảo đảm yêu cầu về bình đẳng giới; không phát sinh tác động tiêu cực và có tác động hỗ trợ gián tiếp đối với việc thu hẹp khoảng cách giới tại địa bàn khó khăn.</w:t>
      </w:r>
    </w:p>
    <w:p>
      <w:pPr>
        <w:overflowPunct w:val="0"/>
        <w:autoSpaceDE w:val="0"/>
        <w:autoSpaceDN w:val="0"/>
        <w:adjustRightInd w:val="0"/>
        <w:ind w:firstLine="567"/>
        <w:rPr>
          <w:color w:val="000000" w:themeColor="text1"/>
          <w:szCs w:val="28"/>
        </w:rPr>
      </w:pPr>
      <w:r>
        <w:rPr>
          <w:b/>
          <w:bCs/>
          <w:color w:val="000000" w:themeColor="text1"/>
          <w:szCs w:val="28"/>
        </w:rPr>
        <w:t>5. Việc thực hiện chính sách dân tộc</w:t>
      </w:r>
    </w:p>
    <w:p>
      <w:pPr>
        <w:ind w:firstLine="567"/>
        <w:rPr>
          <w:szCs w:val="28"/>
        </w:rPr>
      </w:pPr>
      <w:r>
        <w:rPr>
          <w:szCs w:val="28"/>
        </w:rPr>
        <w:t>Dự thảo Nghị quyết được xây dựng trên cơ sở cụ thể hóa cơ chế phân bổ nguồn lực để thực hiện Chương trình đã được phê duyệt, trong đó phát triển kinh tế – xã hội vùng đồng bào dân tộc thiểu số và miền núi là một trong những trọng tâm. Nội dung dự thảo không ban hành chính sách dân tộc mới, không điều chỉnh tiêu chí phân loại địa bàn, không thay đổi mục tiêu, nội dung thành phần của Chương trình, mà chỉ quy định nguyên tắc, tiêu chí, định mức phân bổ vốn ngân sách trung ương và tỷ lệ vốn đối ứng của ngân sách địa phương trong phạm vi tổng mức vốn đã được cấp có thẩm quyền Nghị quyết.</w:t>
      </w:r>
    </w:p>
    <w:p>
      <w:pPr>
        <w:ind w:firstLine="567"/>
        <w:rPr>
          <w:szCs w:val="28"/>
        </w:rPr>
      </w:pPr>
      <w:r>
        <w:rPr>
          <w:szCs w:val="28"/>
        </w:rPr>
        <w:t xml:space="preserve">Cơ chế phân bổ vốn ngân sách trung ương được thiết kế trên cơ sở tiêu chí thôn đặc biệt khó khăn, phân loại khu vực xã vùng đồng bào dân tộc thiểu số và miền núi, xã an toàn khu, biên giới và hải đảo, kết hợp với hệ số ưu tiên theo mức độ nhận hỗ trợ ngân sách trung ương của từng địa phương. Cách tiếp cận này thể </w:t>
      </w:r>
      <w:r>
        <w:rPr>
          <w:szCs w:val="28"/>
        </w:rPr>
        <w:lastRenderedPageBreak/>
        <w:t>hiện rõ nguyên tắc ưu tiên địa bàn càng khó khăn thì mức hỗ trợ tương đối càng cao; qua đó bảo đảm nguồn lực tập trung vào khu vực có điều kiện kinh tế – xã hội đặc biệt khó khăn, nơi khả năng huy động nguồn lực xã hội còn hạn chế và nhu cầu đầu tư hạ tầng thiết yếu, sinh kế bền vững còn lớn.</w:t>
      </w:r>
    </w:p>
    <w:p>
      <w:pPr>
        <w:ind w:firstLine="567"/>
        <w:rPr>
          <w:szCs w:val="28"/>
        </w:rPr>
      </w:pPr>
      <w:r>
        <w:rPr>
          <w:szCs w:val="28"/>
        </w:rPr>
        <w:t>Quy định về tỷ lệ vốn đối ứng của ngân sách địa phương được xác định theo nhóm địa phương căn cứ mức độ nhận hỗ trợ từ ngân sách trung ương và không quy định tỷ lệ vốn đối ứng bắt buộc đối với các xã khu vực I, II, III (xã vùng đồng bào dân tộc thiểu số và miền núi); bảo đảm hài hòa giữa yêu cầu hỗ trợ của trung ương và trách nhiệm của địa phương. Cơ chế này không tạo áp lực vượt quá khả năng cân đối của các tỉnh khó khăn, nơi tập trung đông đồng bào dân tộc thiểu số; đồng thời tăng trách nhiệm của địa phương có năng lực tài chính cao trong việc chủ động bố trí nguồn lực thực hiện mục tiêu chung.</w:t>
      </w:r>
    </w:p>
    <w:p>
      <w:pPr>
        <w:ind w:firstLine="567"/>
        <w:rPr>
          <w:szCs w:val="28"/>
        </w:rPr>
      </w:pPr>
      <w:r>
        <w:rPr>
          <w:szCs w:val="28"/>
        </w:rPr>
        <w:t>Dự thảo không làm phát sinh xung đột hoặc chồng chéo với các quy định hiện hành về chính sách dân tộc; không đặt ra tiêu chí mới ngoài hệ thống phân loại địa bàn đã được cơ quan có thẩm quyền ban hành; không phát sinh thủ tục hành chính hoặc nghĩa vụ tài chính mới đối với người dân vùng đồng bào dân tộc thiểu số và miền núi. Việc áp dụng cơ chế phân bổ theo công thức định lượng còn góp phần nâng cao tính minh bạch, khách quan trong điều tiết nguồn lực cho vùng khó khăn.</w:t>
      </w:r>
    </w:p>
    <w:p>
      <w:pPr>
        <w:ind w:firstLine="567"/>
        <w:rPr>
          <w:szCs w:val="28"/>
        </w:rPr>
      </w:pPr>
      <w:r>
        <w:rPr>
          <w:szCs w:val="28"/>
        </w:rPr>
        <w:t>Như vậy, dự thảo Nghị quyết có tác động tích cực đối với việc thực hiện chính sách dân tộc thông qua công cụ phân bổ ngân sách; bảo đảm ưu tiên đúng đối tượng, đúng địa bàn; tăng tính tập trung, không dàn trải; đồng thời bảo đảm tính khả thi và bền vững tài chính trong quá trình tổ chức thực hiện.</w:t>
      </w:r>
    </w:p>
    <w:p>
      <w:pPr>
        <w:ind w:firstLine="567"/>
        <w:rPr>
          <w:b/>
          <w:bCs/>
          <w:color w:val="000000" w:themeColor="text1"/>
          <w:szCs w:val="28"/>
        </w:rPr>
      </w:pPr>
      <w:r>
        <w:rPr>
          <w:b/>
          <w:bCs/>
          <w:color w:val="000000" w:themeColor="text1"/>
          <w:szCs w:val="28"/>
        </w:rPr>
        <w:t xml:space="preserve">III. PHỤ LỤC </w:t>
      </w:r>
    </w:p>
    <w:p>
      <w:pPr>
        <w:ind w:firstLine="567"/>
        <w:rPr>
          <w:color w:val="000000" w:themeColor="text1"/>
          <w:szCs w:val="28"/>
        </w:rPr>
      </w:pPr>
      <w:r>
        <w:rPr>
          <w:color w:val="000000" w:themeColor="text1"/>
          <w:szCs w:val="28"/>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quyết của Hội đồng nhân dân tỉnh 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giai đoạn 2026 - 2030: Không có phụ lục kèm theo./.</w:t>
      </w:r>
    </w:p>
    <w:sectPr>
      <w:headerReference w:type="default" r:id="rId9"/>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before="0" w:after="0"/>
      </w:pPr>
      <w:r>
        <w:separator/>
      </w:r>
    </w:p>
  </w:endnote>
  <w:endnote w:type="continuationSeparator" w:id="0">
    <w:p>
      <w:pPr>
        <w:spacing w:before="0" w:after="0"/>
      </w:pPr>
      <w:r>
        <w:continuationSeparator/>
      </w:r>
    </w:p>
  </w:endnote>
  <w:endnote w:type="continuationNotice" w:id="1">
    <w:p>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before="0" w:after="0"/>
      </w:pPr>
      <w:r>
        <w:separator/>
      </w:r>
    </w:p>
  </w:footnote>
  <w:footnote w:type="continuationSeparator" w:id="0">
    <w:p>
      <w:pPr>
        <w:spacing w:before="0" w:after="0"/>
      </w:pPr>
      <w:r>
        <w:continuationSeparator/>
      </w:r>
    </w:p>
  </w:footnote>
  <w:footnote w:type="continuationNotice" w:id="1">
    <w:p>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spacing w:after="0"/>
      <w:ind w:firstLine="0"/>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13</w:t>
    </w:r>
    <w:r>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4"/>
  </w:num>
  <w:num w:numId="4">
    <w:abstractNumId w:val="5"/>
  </w:num>
  <w:num w:numId="5">
    <w:abstractNumId w:val="7"/>
  </w:num>
  <w:num w:numId="6">
    <w:abstractNumId w:val="6"/>
  </w:num>
  <w:num w:numId="7">
    <w:abstractNumId w:val="9"/>
  </w:num>
  <w:num w:numId="8">
    <w:abstractNumId w:val="0"/>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revisionView w:inkAnnotations="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pPr>
      <w:keepNext/>
      <w:outlineLvl w:val="0"/>
    </w:pPr>
    <w:rPr>
      <w:b/>
      <w:bCs/>
      <w:kern w:val="32"/>
      <w:szCs w:val="32"/>
      <w:lang w:val="x-none" w:eastAsia="x-none"/>
    </w:rPr>
  </w:style>
  <w:style w:type="paragraph" w:styleId="Heading2">
    <w:name w:val="heading 2"/>
    <w:basedOn w:val="Normal"/>
    <w:next w:val="Normal"/>
    <w:link w:val="Heading2Char"/>
    <w:autoRedefine/>
    <w:qFormat/>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pPr>
      <w:keepNext/>
      <w:outlineLvl w:val="2"/>
    </w:pPr>
    <w:rPr>
      <w:b/>
      <w:bCs/>
      <w:i/>
      <w:szCs w:val="26"/>
      <w:lang w:val="x-none" w:eastAsia="x-none"/>
    </w:rPr>
  </w:style>
  <w:style w:type="paragraph" w:styleId="Heading5">
    <w:name w:val="heading 5"/>
    <w:basedOn w:val="Normal"/>
    <w:next w:val="Normal"/>
    <w:link w:val="Heading5Char"/>
    <w:qFormat/>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Pr>
      <w:rFonts w:ascii="Calibri" w:eastAsia="Times New Roman" w:hAnsi="Calibri" w:cs="Times New Roman"/>
      <w:b/>
      <w:bCs/>
      <w:i/>
      <w:iCs/>
      <w:sz w:val="26"/>
      <w:szCs w:val="26"/>
      <w:lang w:val="x-none" w:eastAsia="x-none"/>
    </w:rPr>
  </w:style>
  <w:style w:type="table" w:styleId="TableGrid">
    <w:name w:val="Table Grid"/>
    <w:basedOn w:val="TableNormal"/>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rPr>
      <w:sz w:val="24"/>
      <w:lang w:val="x-none" w:eastAsia="x-none"/>
    </w:rPr>
  </w:style>
  <w:style w:type="character" w:customStyle="1" w:styleId="HeaderChar">
    <w:name w:val="Header Char"/>
    <w:link w:val="Header"/>
    <w:uiPriority w:val="99"/>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pPr>
      <w:tabs>
        <w:tab w:val="center" w:pos="4680"/>
        <w:tab w:val="right" w:pos="9360"/>
      </w:tabs>
    </w:pPr>
    <w:rPr>
      <w:sz w:val="24"/>
      <w:lang w:val="x-none" w:eastAsia="x-none"/>
    </w:rPr>
  </w:style>
  <w:style w:type="character" w:customStyle="1" w:styleId="FooterChar">
    <w:name w:val="Footer Char"/>
    <w:link w:val="Footer"/>
    <w:uiPriority w:val="99"/>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pPr>
      <w:spacing w:after="160" w:line="240" w:lineRule="exact"/>
    </w:pPr>
    <w:rPr>
      <w:szCs w:val="22"/>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customStyle="1" w:styleId="BalloonTextChar">
    <w:name w:val="Balloon Text Char"/>
    <w:link w:val="BalloonText"/>
    <w:uiPriority w:val="99"/>
    <w:semiHidden/>
    <w:rPr>
      <w:rFonts w:ascii="Tahoma" w:eastAsia="Times New Roman" w:hAnsi="Tahoma" w:cs="Times New Roman"/>
      <w:sz w:val="16"/>
      <w:szCs w:val="16"/>
      <w:lang w:val="x-none" w:eastAsia="x-none"/>
    </w:rPr>
  </w:style>
  <w:style w:type="character" w:styleId="Hyperlink">
    <w:name w:val="Hyperlink"/>
    <w:rPr>
      <w:color w:val="0000FF"/>
      <w:u w:val="single"/>
    </w:rPr>
  </w:style>
  <w:style w:type="paragraph" w:styleId="BodyTextIndent">
    <w:name w:val="Body Text Indent"/>
    <w:basedOn w:val="Normal"/>
    <w:link w:val="BodyTextIndentChar"/>
    <w:pPr>
      <w:ind w:left="283"/>
    </w:pPr>
    <w:rPr>
      <w:sz w:val="24"/>
      <w:lang w:val="x-none" w:eastAsia="x-none"/>
    </w:rPr>
  </w:style>
  <w:style w:type="character" w:customStyle="1" w:styleId="BodyTextIndentChar">
    <w:name w:val="Body Text Indent Char"/>
    <w:link w:val="BodyTextIndent"/>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pPr>
      <w:spacing w:before="100" w:beforeAutospacing="1" w:after="100" w:afterAutospacing="1"/>
    </w:pPr>
  </w:style>
  <w:style w:type="paragraph" w:styleId="BodyTextIndent3">
    <w:name w:val="Body Text Indent 3"/>
    <w:basedOn w:val="Normal"/>
    <w:link w:val="BodyTextIndent3Char"/>
    <w:pPr>
      <w:ind w:left="360"/>
    </w:pPr>
    <w:rPr>
      <w:sz w:val="16"/>
      <w:szCs w:val="16"/>
      <w:lang w:val="x-none" w:eastAsia="x-none"/>
    </w:rPr>
  </w:style>
  <w:style w:type="character" w:customStyle="1" w:styleId="BodyTextIndent3Char">
    <w:name w:val="Body Text Indent 3 Char"/>
    <w:link w:val="BodyTextIndent3"/>
    <w:rPr>
      <w:rFonts w:ascii="Times New Roman" w:eastAsia="Times New Roman" w:hAnsi="Times New Roman" w:cs="Times New Roman"/>
      <w:sz w:val="16"/>
      <w:szCs w:val="16"/>
      <w:lang w:val="x-none" w:eastAsia="x-none"/>
    </w:rPr>
  </w:style>
  <w:style w:type="paragraph" w:styleId="Caption">
    <w:name w:val="caption"/>
    <w:basedOn w:val="Normal"/>
    <w:next w:val="Normal"/>
    <w:qFormat/>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Pr>
      <w:vertAlign w:val="superscript"/>
    </w:rPr>
  </w:style>
  <w:style w:type="character" w:styleId="Strong">
    <w:name w:val="Strong"/>
    <w:uiPriority w:val="22"/>
    <w:qFormat/>
    <w:rPr>
      <w:b/>
      <w:bCs/>
    </w:rPr>
  </w:style>
  <w:style w:type="paragraph" w:styleId="BodyText">
    <w:name w:val="Body Text"/>
    <w:basedOn w:val="Normal"/>
    <w:link w:val="BodyTextChar"/>
    <w:rPr>
      <w:lang w:val="x-none" w:eastAsia="x-none"/>
    </w:rPr>
  </w:style>
  <w:style w:type="character" w:customStyle="1" w:styleId="BodyTextChar">
    <w:name w:val="Body Text Char"/>
    <w:link w:val="BodyText"/>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Pr>
      <w:rFonts w:ascii="Times New Roman" w:eastAsia="Times New Roman" w:hAnsi="Times New Roman"/>
      <w:sz w:val="28"/>
      <w:szCs w:val="24"/>
    </w:rPr>
  </w:style>
  <w:style w:type="paragraph" w:styleId="ListParagraph">
    <w:name w:val="List Paragraph"/>
    <w:basedOn w:val="Normal"/>
    <w:uiPriority w:val="34"/>
    <w:qFormat/>
    <w:pPr>
      <w:ind w:left="720"/>
      <w:contextualSpacing/>
    </w:pPr>
  </w:style>
  <w:style w:type="character" w:customStyle="1" w:styleId="Hyperlink3">
    <w:name w:val="Hyperlink.3"/>
    <w:rPr>
      <w:rFonts w:ascii="Times New Roman" w:eastAsia="Times New Roman" w:hAnsi="Times New Roman" w:cs="Times New Roman"/>
      <w:color w:val="000000"/>
      <w:sz w:val="28"/>
      <w:szCs w:val="28"/>
      <w:u w:color="000000"/>
    </w:rPr>
  </w:style>
  <w:style w:type="character" w:styleId="UnresolvedMention">
    <w:name w:val="Unresolved Mention"/>
    <w:basedOn w:val="DefaultParagraphFont"/>
    <w:uiPriority w:val="99"/>
    <w:rPr>
      <w:color w:val="605E5C"/>
      <w:shd w:val="clear" w:color="auto" w:fill="E1DFDD"/>
    </w:rPr>
  </w:style>
  <w:style w:type="paragraph" w:customStyle="1" w:styleId="Content">
    <w:name w:val="Content"/>
    <w:basedOn w:val="Normal"/>
    <w:qFormat/>
    <w:pPr>
      <w:spacing w:after="0" w:line="264" w:lineRule="auto"/>
    </w:pPr>
    <w:rPr>
      <w:rFonts w:eastAsia="Calibri" w:cs="Calibri"/>
      <w:szCs w:val="22"/>
      <w:lang w:val="de-DE"/>
    </w:rPr>
  </w:style>
  <w:style w:type="character" w:customStyle="1" w:styleId="fontstyle01">
    <w:name w:val="fontstyle01"/>
    <w:basedOn w:val="DefaultParagraphFont"/>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450230">
      <w:bodyDiv w:val="1"/>
      <w:marLeft w:val="0"/>
      <w:marRight w:val="0"/>
      <w:marTop w:val="0"/>
      <w:marBottom w:val="0"/>
      <w:divBdr>
        <w:top w:val="none" w:sz="0" w:space="0" w:color="auto"/>
        <w:left w:val="none" w:sz="0" w:space="0" w:color="auto"/>
        <w:bottom w:val="none" w:sz="0" w:space="0" w:color="auto"/>
        <w:right w:val="none" w:sz="0" w:space="0" w:color="auto"/>
      </w:divBdr>
    </w:div>
    <w:div w:id="975987619">
      <w:bodyDiv w:val="1"/>
      <w:marLeft w:val="0"/>
      <w:marRight w:val="0"/>
      <w:marTop w:val="0"/>
      <w:marBottom w:val="0"/>
      <w:divBdr>
        <w:top w:val="none" w:sz="0" w:space="0" w:color="auto"/>
        <w:left w:val="none" w:sz="0" w:space="0" w:color="auto"/>
        <w:bottom w:val="none" w:sz="0" w:space="0" w:color="auto"/>
        <w:right w:val="none" w:sz="0" w:space="0" w:color="auto"/>
      </w:divBdr>
    </w:div>
    <w:div w:id="1080371489">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69248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C533-B9B9-4A24-BA1C-80937E7C03F9}">
  <ds:schemaRefs>
    <ds:schemaRef ds:uri="http://schemas.openxmlformats.org/officeDocument/2006/bibliography"/>
  </ds:schemaRefs>
</ds:datastoreItem>
</file>

<file path=customXml/itemProps2.xml><?xml version="1.0" encoding="utf-8"?>
<ds:datastoreItem xmlns:ds="http://schemas.openxmlformats.org/officeDocument/2006/customXml" ds:itemID="{5461D3B9-1FBA-40A0-902A-6DFD19DD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3566</TotalTime>
  <Pages>7</Pages>
  <Words>2825</Words>
  <Characters>16105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Administrator</cp:lastModifiedBy>
  <cp:revision>2527</cp:revision>
  <cp:lastPrinted>2022-02-27T09:33:00Z</cp:lastPrinted>
  <dcterms:created xsi:type="dcterms:W3CDTF">2022-02-27T09:33:00Z</dcterms:created>
  <dcterms:modified xsi:type="dcterms:W3CDTF">2026-05-18T09:27:00Z</dcterms:modified>
</cp:coreProperties>
</file>